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366395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06" w:lineRule="exact"/>
        <w:rPr>
          <w:sz w:val="24"/>
          <w:szCs w:val="24"/>
          <w:color w:val="auto"/>
        </w:rPr>
      </w:pPr>
    </w:p>
    <w:p>
      <w:pPr>
        <w:ind w:left="4020" w:right="1420" w:hanging="3755"/>
        <w:spacing w:after="0" w:line="425" w:lineRule="auto"/>
        <w:tabs>
          <w:tab w:leader="none" w:pos="8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2019</w:t>
      </w:r>
    </w:p>
    <w:p>
      <w:pPr>
        <w:jc w:val="center"/>
        <w:spacing w:after="0"/>
        <w:rPr>
          <w:sz w:val="20"/>
          <w:szCs w:val="20"/>
          <w:color w:val="auto"/>
        </w:rPr>
      </w:pPr>
      <w:r>
        <w:rPr>
          <w:rFonts w:ascii="Arial" w:cs="Arial" w:eastAsia="Arial" w:hAnsi="Arial"/>
          <w:sz w:val="18"/>
          <w:szCs w:val="18"/>
          <w:color w:val="auto"/>
        </w:rPr>
        <w:t>or</w:t>
      </w:r>
    </w:p>
    <w:p>
      <w:pPr>
        <w:spacing w:after="0" w:line="302" w:lineRule="exact"/>
        <w:rPr>
          <w:sz w:val="24"/>
          <w:szCs w:val="24"/>
          <w:color w:val="auto"/>
        </w:rPr>
      </w:pPr>
    </w:p>
    <w:p>
      <w:pPr>
        <w:ind w:left="4240" w:right="1420" w:hanging="3975"/>
        <w:spacing w:after="0" w:line="425" w:lineRule="auto"/>
        <w:tabs>
          <w:tab w:leader="none" w:pos="84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Arial" w:cs="Arial" w:eastAsia="Arial" w:hAnsi="Arial"/>
          <w:sz w:val="18"/>
          <w:szCs w:val="18"/>
          <w:i w:val="1"/>
          <w:iCs w:val="1"/>
          <w:color w:val="auto"/>
        </w:rPr>
        <w:t>Commission File Number: 001-37527</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80" w:type="dxa"/>
            <w:vAlign w:val="bottom"/>
            <w:gridSpan w:val="4"/>
          </w:tcPr>
          <w:p>
            <w:pPr>
              <w:jc w:val="center"/>
              <w:ind w:right="3740"/>
              <w:spacing w:after="0"/>
              <w:rPr>
                <w:sz w:val="20"/>
                <w:szCs w:val="20"/>
                <w:color w:val="auto"/>
              </w:rPr>
            </w:pPr>
            <w:r>
              <w:rPr>
                <w:rFonts w:ascii="Arial" w:cs="Arial" w:eastAsia="Arial" w:hAnsi="Arial"/>
                <w:sz w:val="25"/>
                <w:szCs w:val="25"/>
                <w:b w:val="1"/>
                <w:bCs w:val="1"/>
                <w:color w:val="auto"/>
              </w:rPr>
              <w:t>XCEL BRANDS, INC.</w:t>
            </w:r>
          </w:p>
        </w:tc>
      </w:tr>
      <w:tr>
        <w:trPr>
          <w:trHeight w:val="230"/>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2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13"/>
        </w:trPr>
        <w:tc>
          <w:tcPr>
            <w:tcW w:w="374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Delaware</w:t>
            </w:r>
          </w:p>
        </w:tc>
        <w:tc>
          <w:tcPr>
            <w:tcW w:w="7680" w:type="dxa"/>
            <w:vAlign w:val="bottom"/>
            <w:gridSpan w:val="4"/>
          </w:tcPr>
          <w:p>
            <w:pPr>
              <w:jc w:val="center"/>
              <w:ind w:left="2445"/>
              <w:spacing w:after="0"/>
              <w:rPr>
                <w:sz w:val="20"/>
                <w:szCs w:val="20"/>
                <w:color w:val="auto"/>
              </w:rPr>
            </w:pPr>
            <w:r>
              <w:rPr>
                <w:rFonts w:ascii="Arial" w:cs="Arial" w:eastAsia="Arial" w:hAnsi="Arial"/>
                <w:sz w:val="18"/>
                <w:szCs w:val="18"/>
                <w:color w:val="auto"/>
                <w:w w:val="89"/>
              </w:rPr>
              <w:t>76-0307819</w:t>
            </w:r>
          </w:p>
        </w:tc>
      </w:tr>
      <w:tr>
        <w:trPr>
          <w:trHeight w:val="27"/>
        </w:trPr>
        <w:tc>
          <w:tcPr>
            <w:tcW w:w="2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jc w:val="center"/>
              <w:ind w:left="1210"/>
              <w:spacing w:after="0"/>
              <w:rPr>
                <w:sz w:val="20"/>
                <w:szCs w:val="20"/>
                <w:color w:val="auto"/>
              </w:rPr>
            </w:pPr>
            <w:r>
              <w:rPr>
                <w:rFonts w:ascii="Arial" w:cs="Arial" w:eastAsia="Arial" w:hAnsi="Arial"/>
                <w:sz w:val="18"/>
                <w:szCs w:val="18"/>
                <w:color w:val="auto"/>
                <w:w w:val="92"/>
              </w:rPr>
              <w:t>(State or Other Jurisdiction of</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140" w:type="dxa"/>
            <w:vAlign w:val="bottom"/>
            <w:gridSpan w:val="2"/>
          </w:tcPr>
          <w:p>
            <w:pPr>
              <w:jc w:val="center"/>
              <w:spacing w:after="0"/>
              <w:rPr>
                <w:sz w:val="20"/>
                <w:szCs w:val="20"/>
                <w:color w:val="auto"/>
              </w:rPr>
            </w:pPr>
            <w:r>
              <w:rPr>
                <w:rFonts w:ascii="Arial" w:cs="Arial" w:eastAsia="Arial" w:hAnsi="Arial"/>
                <w:sz w:val="18"/>
                <w:szCs w:val="18"/>
                <w:color w:val="auto"/>
                <w:w w:val="92"/>
              </w:rPr>
              <w:t>(I.R.S. Employer</w:t>
            </w:r>
          </w:p>
        </w:tc>
      </w:tr>
      <w:tr>
        <w:trPr>
          <w:trHeight w:val="270"/>
        </w:trPr>
        <w:tc>
          <w:tcPr>
            <w:tcW w:w="374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Incorporation or Organization)</w:t>
            </w:r>
          </w:p>
        </w:tc>
        <w:tc>
          <w:tcPr>
            <w:tcW w:w="1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14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540"/>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80" w:type="dxa"/>
            <w:vAlign w:val="bottom"/>
            <w:gridSpan w:val="4"/>
          </w:tcPr>
          <w:p>
            <w:pPr>
              <w:jc w:val="center"/>
              <w:ind w:right="3720"/>
              <w:spacing w:after="0"/>
              <w:rPr>
                <w:sz w:val="20"/>
                <w:szCs w:val="20"/>
                <w:color w:val="auto"/>
              </w:rPr>
            </w:pPr>
            <w:r>
              <w:rPr>
                <w:rFonts w:ascii="Arial" w:cs="Arial" w:eastAsia="Arial" w:hAnsi="Arial"/>
                <w:sz w:val="18"/>
                <w:szCs w:val="18"/>
                <w:color w:val="auto"/>
                <w:w w:val="92"/>
              </w:rPr>
              <w:t>1333 Broadway, 10th Floor, New York, NY 10018</w:t>
            </w:r>
          </w:p>
        </w:tc>
      </w:tr>
      <w:tr>
        <w:trPr>
          <w:trHeight w:val="27"/>
        </w:trPr>
        <w:tc>
          <w:tcPr>
            <w:tcW w:w="24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20"/>
              <w:spacing w:after="0"/>
              <w:rPr>
                <w:sz w:val="20"/>
                <w:szCs w:val="20"/>
                <w:color w:val="auto"/>
              </w:rPr>
            </w:pPr>
            <w:r>
              <w:rPr>
                <w:rFonts w:ascii="Arial" w:cs="Arial" w:eastAsia="Arial" w:hAnsi="Arial"/>
                <w:sz w:val="18"/>
                <w:szCs w:val="18"/>
                <w:color w:val="auto"/>
                <w:w w:val="92"/>
              </w:rPr>
              <w:t>(Address of Principal Executive Offices)</w:t>
            </w:r>
          </w:p>
        </w:tc>
      </w:tr>
      <w:tr>
        <w:trPr>
          <w:trHeight w:val="364"/>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gridSpan w:val="2"/>
          </w:tcPr>
          <w:p>
            <w:pPr>
              <w:jc w:val="center"/>
              <w:ind w:left="1325"/>
              <w:spacing w:after="0"/>
              <w:rPr>
                <w:sz w:val="20"/>
                <w:szCs w:val="20"/>
                <w:color w:val="auto"/>
              </w:rPr>
            </w:pPr>
            <w:r>
              <w:rPr>
                <w:rFonts w:ascii="Arial" w:cs="Arial" w:eastAsia="Arial" w:hAnsi="Arial"/>
                <w:sz w:val="18"/>
                <w:szCs w:val="18"/>
                <w:color w:val="auto"/>
                <w:w w:val="90"/>
              </w:rPr>
              <w:t>(347) 727-2474</w:t>
            </w:r>
          </w:p>
        </w:tc>
        <w:tc>
          <w:tcPr>
            <w:tcW w:w="27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40"/>
              <w:spacing w:after="0"/>
              <w:rPr>
                <w:sz w:val="20"/>
                <w:szCs w:val="20"/>
                <w:color w:val="auto"/>
              </w:rPr>
            </w:pPr>
            <w:r>
              <w:rPr>
                <w:rFonts w:ascii="Arial" w:cs="Arial" w:eastAsia="Arial" w:hAnsi="Arial"/>
                <w:sz w:val="18"/>
                <w:szCs w:val="18"/>
                <w:color w:val="auto"/>
                <w:w w:val="90"/>
              </w:rPr>
              <w:t>(Issuer's Telephone Number, Including Area Code)</w:t>
            </w: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230"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42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5020" w:space="720"/>
            <w:col w:w="568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53" w:lineRule="exact"/>
        <w:rPr>
          <w:sz w:val="24"/>
          <w:szCs w:val="24"/>
          <w:color w:val="auto"/>
        </w:rPr>
      </w:pPr>
    </w:p>
    <w:p>
      <w:pPr>
        <w:sectPr>
          <w:pgSz w:w="11900" w:h="16838" w:orient="portrait"/>
          <w:cols w:equalWidth="0" w:num="3">
            <w:col w:w="5020" w:space="720"/>
            <w:col w:w="1980" w:space="140"/>
            <w:col w:w="3560"/>
          </w:cols>
          <w:pgMar w:left="240" w:top="233" w:right="239" w:bottom="1440" w:gutter="0" w:footer="0" w:header="0"/>
          <w:type w:val="continuous"/>
        </w:sectPr>
      </w:pPr>
    </w:p>
    <w:p>
      <w:pPr>
        <w:spacing w:after="0" w:line="33" w:lineRule="exact"/>
        <w:rPr>
          <w:sz w:val="24"/>
          <w:szCs w:val="24"/>
          <w:color w:val="auto"/>
        </w:rPr>
      </w:pPr>
    </w:p>
    <w:p>
      <w:pPr>
        <w:ind w:left="57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0" w:lineRule="exact"/>
        <w:rPr>
          <w:sz w:val="24"/>
          <w:szCs w:val="24"/>
          <w:color w:val="auto"/>
        </w:rPr>
      </w:pPr>
    </w:p>
    <w:p>
      <w:pPr>
        <w:sectPr>
          <w:pgSz w:w="11900" w:h="16838" w:orient="portrait"/>
          <w:cols w:equalWidth="0" w:num="2">
            <w:col w:w="7720" w:space="120"/>
            <w:col w:w="3580"/>
          </w:cols>
          <w:pgMar w:left="240" w:top="233" w:right="2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720"/>
        <w:spacing w:after="0" w:line="308" w:lineRule="exact"/>
        <w:rPr>
          <w:sz w:val="20"/>
          <w:szCs w:val="20"/>
          <w:color w:val="auto"/>
        </w:rPr>
      </w:pPr>
      <w:r>
        <w:rPr>
          <w:rFonts w:ascii="Arial" w:cs="Arial" w:eastAsia="Arial" w:hAnsi="Arial"/>
          <w:sz w:val="17"/>
          <w:szCs w:val="17"/>
          <w:color w:val="auto"/>
        </w:rPr>
        <w:t xml:space="preserve">Indicate by a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12, 2019, there were 18,916,394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72123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85725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40" w:type="dxa"/>
            <w:vAlign w:val="bottom"/>
            <w:gridSpan w:val="5"/>
          </w:tcPr>
          <w:p>
            <w:pPr>
              <w:ind w:left="38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Operations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Reconciliation of Stockholders' Equity</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54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20" w:type="dxa"/>
            <w:vAlign w:val="bottom"/>
            <w:tcBorders>
              <w:top w:val="single" w:sz="8" w:color="0000EE"/>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PART II - OTHER INFORMATION</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540" w:type="dxa"/>
            <w:vAlign w:val="bottom"/>
            <w:shd w:val="clear" w:color="auto" w:fill="CCEEFF"/>
          </w:tcPr>
          <w:p>
            <w:pPr>
              <w:spacing w:after="0"/>
              <w:rPr>
                <w:sz w:val="21"/>
                <w:szCs w:val="21"/>
                <w:color w:val="auto"/>
              </w:rPr>
            </w:pPr>
          </w:p>
        </w:tc>
      </w:tr>
      <w:tr>
        <w:trPr>
          <w:trHeight w:val="459"/>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040" w:type="dxa"/>
            <w:vAlign w:val="bottom"/>
            <w:tcBorders>
              <w:top w:val="single" w:sz="8" w:color="CCEEFF"/>
            </w:tcBorders>
            <w:gridSpan w:val="13"/>
          </w:tcPr>
          <w:p>
            <w:pPr>
              <w:jc w:val="right"/>
              <w:ind w:right="220"/>
              <w:spacing w:after="0"/>
              <w:rPr>
                <w:sz w:val="20"/>
                <w:szCs w:val="20"/>
                <w:color w:val="auto"/>
              </w:rPr>
            </w:pPr>
            <w:r>
              <w:rPr>
                <w:rFonts w:ascii="Arial" w:cs="Arial" w:eastAsia="Arial" w:hAnsi="Arial"/>
                <w:sz w:val="18"/>
                <w:szCs w:val="18"/>
                <w:color w:val="auto"/>
              </w:rPr>
              <w:t>2</w:t>
            </w:r>
          </w:p>
        </w:tc>
        <w:tc>
          <w:tcPr>
            <w:tcW w:w="6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ind w:right="295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2019</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(Note 1)</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2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7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8,837</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11,010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2,040</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23,875</w:t>
            </w:r>
          </w:p>
        </w:tc>
      </w:tr>
      <w:tr>
        <w:trPr>
          <w:trHeight w:val="237"/>
        </w:trPr>
        <w:tc>
          <w:tcPr>
            <w:tcW w:w="40" w:type="dxa"/>
            <w:vAlign w:val="bottom"/>
          </w:tcPr>
          <w:p>
            <w:pPr>
              <w:spacing w:after="0"/>
              <w:rPr>
                <w:sz w:val="20"/>
                <w:szCs w:val="20"/>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3,202</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Trademarks and other intangibles,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119,004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108,989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114,184</w:t>
            </w:r>
          </w:p>
        </w:tc>
      </w:tr>
      <w:tr>
        <w:trPr>
          <w:trHeight w:val="297"/>
        </w:trPr>
        <w:tc>
          <w:tcPr>
            <w:tcW w:w="8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152,317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138,059</w:t>
            </w:r>
          </w:p>
        </w:tc>
      </w:tr>
      <w:tr>
        <w:trPr>
          <w:trHeight w:val="271"/>
        </w:trPr>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Accounts payable, accrued expenses and 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4,868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payroll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accrued rent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obligation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5,325</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 contingent obligations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2,950</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16,116</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portion of accrued rent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Long-term portion of operating lease obligation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11,300</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8,139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37"/>
        </w:trPr>
        <w:tc>
          <w:tcPr>
            <w:tcW w:w="40" w:type="dxa"/>
            <w:vAlign w:val="bottom"/>
          </w:tcPr>
          <w:p>
            <w:pPr>
              <w:spacing w:after="0"/>
              <w:rPr>
                <w:sz w:val="20"/>
                <w:szCs w:val="20"/>
                <w:color w:val="auto"/>
              </w:rPr>
            </w:pPr>
          </w:p>
        </w:tc>
        <w:tc>
          <w:tcPr>
            <w:tcW w:w="8200" w:type="dxa"/>
            <w:vAlign w:val="bottom"/>
            <w:gridSpan w:val="2"/>
          </w:tcPr>
          <w:p>
            <w:pPr>
              <w:ind w:left="24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22,061</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38,177</w:t>
            </w:r>
          </w:p>
        </w:tc>
      </w:tr>
      <w:tr>
        <w:trPr>
          <w:trHeight w:val="277"/>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Common stock, $.001 par value, 50,000,000 shares authorized at March 31, 2019 and December 31, 2018,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respectively, and 18,916,394 and 18,138,616 shares issued and outstanding at March 31, 2019 and December</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101,501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100,097</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40" w:type="dxa"/>
            <w:vAlign w:val="bottom"/>
          </w:tcPr>
          <w:p>
            <w:pPr>
              <w:spacing w:after="0"/>
              <w:rPr>
                <w:sz w:val="20"/>
                <w:szCs w:val="20"/>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101,414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99,882</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138,059</w:t>
            </w: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For the Three Months Ended</w:t>
            </w:r>
          </w:p>
        </w:tc>
      </w:tr>
      <w:tr>
        <w:trPr>
          <w:trHeight w:val="234"/>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80" w:type="dxa"/>
            <w:vAlign w:val="bottom"/>
          </w:tcPr>
          <w:p>
            <w:pPr>
              <w:spacing w:after="0"/>
              <w:rPr>
                <w:sz w:val="20"/>
                <w:szCs w:val="20"/>
                <w:color w:val="auto"/>
              </w:rPr>
            </w:pPr>
          </w:p>
        </w:tc>
      </w:tr>
      <w:tr>
        <w:trPr>
          <w:trHeight w:val="270"/>
        </w:trPr>
        <w:tc>
          <w:tcPr>
            <w:tcW w:w="8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Net licensing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8,481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10,301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 (sales)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37"/>
        </w:trPr>
        <w:tc>
          <w:tcPr>
            <w:tcW w:w="82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8,586</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benefits and employment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4,425</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Other design and marketing costs</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7,374</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1,212</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 and finance expense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 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Other interest and finance charges</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Total interest and finance expense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r>
      <w:tr>
        <w:trPr>
          <w:trHeight w:val="284"/>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per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84"/>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net income per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84"/>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18,562,073</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18,333,912</w:t>
            </w:r>
          </w:p>
        </w:tc>
      </w:tr>
      <w:tr>
        <w:trPr>
          <w:trHeight w:val="251"/>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18,562,763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18,716,802</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Reconciliation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365760</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7"/>
              </w:rPr>
              <w:t>Stockholders'</w:t>
            </w:r>
          </w:p>
        </w:tc>
      </w:tr>
      <w:tr>
        <w:trPr>
          <w:trHeight w:val="261"/>
        </w:trPr>
        <w:tc>
          <w:tcPr>
            <w:tcW w:w="43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4"/>
              </w:rPr>
              <w:t>Equity</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18,318,961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98,997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97,694</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6"/>
              </w:rPr>
              <w:t>Compensation expense in connection with stock options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0"/>
              </w:rPr>
              <w:t>Shares issued to employees in connection with stock grants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91,826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7"/>
              </w:rPr>
              <w:t>Shares repurchased including vested restricted stock in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exchange for withholding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(43,638)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March 31, 2018</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18,367,149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99,695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98,892</w:t>
            </w:r>
          </w:p>
        </w:tc>
      </w:tr>
      <w:tr>
        <w:trPr>
          <w:trHeight w:val="311"/>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18,138,616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99,882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Issuance of common stock in connection with the</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acquisition of Halston Heritage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777,778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1,058</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6"/>
              </w:rPr>
              <w:t>Compensation expense in connection with stock options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18,916,394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101,501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101,414</w:t>
            </w: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b w:val="1"/>
                <w:bCs w:val="1"/>
                <w:color w:val="auto"/>
                <w:w w:val="90"/>
              </w:rPr>
              <w:t>Xcel Brands,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b w:val="1"/>
                <w:bCs w:val="1"/>
                <w:color w:val="auto"/>
                <w:w w:val="88"/>
              </w:rPr>
              <w:t>Unaudited Condensed Consolidated Statements of Cash Flows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18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Three Months Ended March 31,</w:t>
            </w:r>
          </w:p>
        </w:tc>
      </w:tr>
      <w:tr>
        <w:trPr>
          <w:trHeight w:val="270"/>
        </w:trPr>
        <w:tc>
          <w:tcPr>
            <w:tcW w:w="12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411</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deferred finance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note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4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Cash paid in excess of rent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consideration for acquisition of Halston Heritage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64"/>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Shares repurchased including vested restricted stock in exchange for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withholding taxes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Payment of deferred finance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Payment of long-term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64"/>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70"/>
        </w:trPr>
        <w:tc>
          <w:tcPr>
            <w:tcW w:w="12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11,694</w:t>
            </w:r>
          </w:p>
        </w:tc>
      </w:tr>
      <w:tr>
        <w:trPr>
          <w:trHeight w:val="264"/>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6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8,896</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r>
      <w:tr>
        <w:trPr>
          <w:trHeight w:val="297"/>
        </w:trPr>
        <w:tc>
          <w:tcPr>
            <w:tcW w:w="8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7,911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10,405</w:t>
            </w:r>
          </w:p>
        </w:tc>
      </w:tr>
      <w:tr>
        <w:trPr>
          <w:trHeight w:val="257"/>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lease right-of-use asset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Operating lease obligation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11,437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rent offset to operating lease right-of-use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Settlement of seller note through offset to receivable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Settlement of contingent obligation through offset to note receivable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Issuance of common stock in connection with Halston Heritage assets acquisition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Contingent obligation related to acquisition of Halston Heritage assets at fair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8" w:right="239" w:bottom="9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paid during the period for income taxes</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51"/>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 interest</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0"/>
        </w:trPr>
        <w:tc>
          <w:tcPr>
            <w:tcW w:w="8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consolidated balance sheet as of December 31, 2018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3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2018, as filed with the SEC on April 1, 2019.</w:t>
      </w:r>
    </w:p>
    <w:p>
      <w:pPr>
        <w:spacing w:after="0" w:line="3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media and consumer products company engaged in the design, production, marketing, wholesale, and direct-to-consumer sales of branded apparel, footwear, accessories, jewelry, home goods and other consumer products, and the acquisition of dynamic consumer lifestyle brands. The Company has developed a Fast-to-Market supply chain capability driven by its proprietary integrated technology platform. Currently, the Company's brand portfolio consists of the Isaac Mizrahi brands (the "Isaac Mizrahi Brand"), the Judith Ripka brands (the "Ripka Brand"), the Halston brands ("Halston Brand"), the C Wonder brands (the "C Wonder Brand") and the Highline Collective brand. In February 2019, the Company acquired the Halston and Halston Heritage trademarks and related intellectual property, and consolidated the ownership of the Halston trademarks and labels.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vision is intended to reimagine shopping, entertainment, and social media as one. To fulfill this vision, it plans to continue to grow the reach of its brand portfolio by leveraging its own internal design, production, integrated technology platforms, marketing expertise and relationships with its retail and direct-to-consumer customers, key licensees, manufacturers and retailers. The Company also continues to market its brands through its innovative ubiquitous-channel retail sales strategy which includes distribution through interactive television, e-commerce, and traditional brick-and-mortar retail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reclassifications have been made to prior year financial statements to conform to classifications used in the current year. These reclassifications had no impact on net income, stockholders’ equity or cash flows as previously reported.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Inventory is recorded at the lower of cost or net realizable value, with cost determined on a weighted average basis. The Company holds finished goods inventory for its e-commerce jewelry operations. Apparel and jewelry finished goods inventory is purchased to satisfy orders received from its wholesale operations. The Company periodically reviews the composition of its inventory in order to identify obsolete, slow-moving or otherwise non-saleable items. If non-saleable items are observed and there are no alternate uses for the inventory, the Company will record a write-down to net realizable value in the period that the decline in value is first recognized. Reserves for inventory shrinkage, representing the risk of physical loss of inventory, are estimated based on historical experience and are adjusted based upon physical inventory counts.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No. 2018-13, “Fair Value Measurement (Topic 820): Disclosure Framework – Changes to the Disclosure Requirements for Fair Value Measurement.” This ASU adds, modifies and removes several disclosure requirements relative to the three levels of inputs used to measure fair value in accordance with Topic 820, “Fair Value Measurement.” This guidance is effective for public companies for fiscal years beginning after December 15, 2019, with early adoption permitted. The Company is currently evaluating the new guidance to determine the impact the adoption of this guidance will have on the Company’s results of operations, cash flows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ASU 2016-02 effective January 1, 2019, by applying the new guidance under the additional and alternative transition method allowed by ASU 2018-11, “Leases (Topic 842): Targeted Improvements”. The standard had a material impact on the Company’s unaudited condensed consolidated balance sheet but did not have an impact on the Company’s unaudited condensed statement of operations. As of January 1, 2019, the adoption resulted in the recognition of operating lease right-of-use assets ("ROU") of approximately $8.7 million, lease liability of approximately $11.4 million, and a decrease of approximately $2.7 million in accrued rent.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elected the available practical expedients under ASC 842-10-15-37 (thereby not separating lease components from non-lease components and instead accounting for all components as a single lease component) and ASC 842-10-65-1 (thereby, among other things, not reassessing lease classification), and implemented changes to its processes and methodologies related to leases to enable the preparation of financial information on adoption and to allow for the correct identification, classification and measurement of leases in accordance with the new guidance going forward.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the standard related to leases had no impact on cash from or used in operating, financing, or investing activities in our unaudited condensed consolidated statements of cash flows.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ROU assets, and operating lease liabilities (current and non-current) in the Company’s unaudited condensed consolidated balance sheets.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lease liabilities are recognized at commencement date based on the present value of the remaining lease payments over the lease term. As most of the Company’s leases do not provide an implicit rate, the Company uses its incremental borrowing rate based on the information available at commencement date in determining the present value of lease payments. The Company may use the implicit rate when readily determinable. Operating lease ROU assets also include scheduled lease payments made and initial direct costs and excludes lease incentives and accrued rent. Lease terms may include options to extend or terminate the lease when it is reasonably certain that the Company will exercise that option. Lease expense for operating lease payments is recognized on a straight-line basis over the lease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real estate leases of office space, the Company accounts for the lease and non-lease components as a single lease component.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leases with a term of 12 months or less, the Company does not recognize lease liabilities and ROU assets but recognizes the lease payments in net income on a straight-line basis over the lease terms.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2.  Trademarks and Other Intangibles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160" w:type="dxa"/>
            <w:vAlign w:val="bottom"/>
            <w:gridSpan w:val="4"/>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 2019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4"/>
            <w:vMerge w:val="restart"/>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Gross Carrying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160" w:type="dxa"/>
            <w:vAlign w:val="bottom"/>
            <w:gridSpan w:val="4"/>
          </w:tcPr>
          <w:p>
            <w:pPr>
              <w:ind w:left="80"/>
              <w:spacing w:after="0"/>
              <w:rPr>
                <w:sz w:val="20"/>
                <w:szCs w:val="20"/>
                <w:color w:val="auto"/>
              </w:rPr>
            </w:pPr>
            <w:r>
              <w:rPr>
                <w:rFonts w:ascii="Arial" w:cs="Arial" w:eastAsia="Arial" w:hAnsi="Arial"/>
                <w:sz w:val="18"/>
                <w:szCs w:val="18"/>
                <w:b w:val="1"/>
                <w:bCs w:val="1"/>
                <w:color w:val="auto"/>
              </w:rPr>
              <w:t>($ in thousands)</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Trademarks (indefinite-lived)</w:t>
            </w:r>
          </w:p>
        </w:tc>
        <w:tc>
          <w:tcPr>
            <w:tcW w:w="160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7"/>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69,100</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Trademarks (finite-lived)</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color w:val="auto"/>
                <w:w w:val="86"/>
              </w:rPr>
              <w:t>15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Trademarks (finite-lived)</w:t>
            </w:r>
          </w:p>
        </w:tc>
        <w:tc>
          <w:tcPr>
            <w:tcW w:w="16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6"/>
              </w:rPr>
              <w:t>18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Other intellectual property</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7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Copyrights and other intellectual property</w:t>
            </w:r>
          </w:p>
        </w:tc>
        <w:tc>
          <w:tcPr>
            <w:tcW w:w="16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6"/>
              </w:rPr>
              <w:t>10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Customer list</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5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123,709</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4,705</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119,004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4"/>
            <w:vMerge w:val="restart"/>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Gross Carrying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160" w:type="dxa"/>
            <w:vAlign w:val="bottom"/>
            <w:gridSpan w:val="4"/>
          </w:tcPr>
          <w:p>
            <w:pPr>
              <w:ind w:left="40"/>
              <w:spacing w:after="0"/>
              <w:rPr>
                <w:sz w:val="20"/>
                <w:szCs w:val="20"/>
                <w:color w:val="auto"/>
              </w:rPr>
            </w:pPr>
            <w:r>
              <w:rPr>
                <w:rFonts w:ascii="Arial" w:cs="Arial" w:eastAsia="Arial" w:hAnsi="Arial"/>
                <w:sz w:val="18"/>
                <w:szCs w:val="18"/>
                <w:b w:val="1"/>
                <w:bCs w:val="1"/>
                <w:color w:val="auto"/>
              </w:rPr>
              <w:t>($ in thousands)</w:t>
            </w: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Period</w:t>
            </w:r>
          </w:p>
        </w:tc>
        <w:tc>
          <w:tcPr>
            <w:tcW w:w="12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Trademarks (indefinite-lived)</w:t>
            </w:r>
          </w:p>
        </w:tc>
        <w:tc>
          <w:tcPr>
            <w:tcW w:w="160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7"/>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96,707</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Trademarks (finite-lived)</w:t>
            </w: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color w:val="auto"/>
                <w:w w:val="86"/>
              </w:rPr>
              <w:t>15 years</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15,463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intellectual property</w:t>
            </w:r>
          </w:p>
        </w:tc>
        <w:tc>
          <w:tcPr>
            <w:tcW w:w="160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7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Copyrights and other intellectual property</w:t>
            </w: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color w:val="auto"/>
                <w:w w:val="86"/>
              </w:rPr>
              <w:t>10 years</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112,921</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3,932</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108,989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for intangible assets was approximately $0.77 million and $0.28 million for the three-month periods ended March 31, 2019 and 2018, respectively.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trademarks related to the Isaac Mizrahi Brand and the Ripka Brand have been determined to have indefinite useful lives and, accordingly, no amortization has been recorded for these assets.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2019, and in consideration of the acquisition of the Halston and Halston Heritage trademarks in February 2019, the Company has determined that the Halston brand, inclusive of all of its trademarks, including H Halston, and H by Halston, have a finite life of 18 years, and are amortized on a straight-line basis accordingly. Prior to January 1, 2019, the H Halston and H by Halston assets were considered indefinite-lived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Halston Heritage Trademarks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2019 (the "Closing date"), the Company and its wholly owned subsidiary, H Heritage Licensing, LLC, entered into an asset purchase agreement (the "Heritage Asset Purchase Agreement") with the H Company IP, LLC (the Seller) ("HIP"), and its parent House of Halston LLC ("HOH"), pursuant to which the Company acquired certain assets of HIP, including the "Halston", "Halston Heritage" and "Roy Frowick" trademarks, (collectively, the "Halston Heritage Trademarks") and other intellectual property rights relating thereto. Benjamin Malka, a director of the Company, is a 25% equity holder of HOH, and former Chief Executive Officer of HOH.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the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Agreement. Such agreements were executed and delivered to Xcel and the Xcel shares were issued and delivered to the Sellers. In addition to the closing consideration,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w:t>
      </w:r>
    </w:p>
    <w:p>
      <w:pPr>
        <w:spacing w:after="0" w:line="1" w:lineRule="exact"/>
        <w:rPr>
          <w:sz w:val="20"/>
          <w:szCs w:val="20"/>
          <w:color w:val="auto"/>
        </w:rPr>
      </w:pPr>
    </w:p>
    <w:p>
      <w:pPr>
        <w:jc w:val="both"/>
        <w:ind w:firstLine="8"/>
        <w:spacing w:after="0" w:line="268"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20% of aggregate Excess Net Royalties during the Earn-Out Period greater than $10.0 million and up to $15.0 million and (c) 0% of aggregate Excess Net Royalties during the Earn-Out Period in excess of $15.0 million. The Earn-Out Consideration shall be payable in common stock of Xcel Shares (the “Earn-Out Shares”) ; provided, however, that if the number of Earn-Out Shares, when combined with the number of Xcel Shares issued at the closing,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Halston Heritage Trademark acquisition was accounted for as an asset purchase. The aggregate purchase price has been allocated to the following assets based on the fair value of the assets on the date of acquisition:</w:t>
      </w:r>
    </w:p>
    <w:p>
      <w:pPr>
        <w:spacing w:after="0" w:line="329"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 in thousands)</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7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700" w:type="dxa"/>
            <w:vAlign w:val="bottom"/>
          </w:tcPr>
          <w:p>
            <w:pPr>
              <w:ind w:left="40"/>
              <w:spacing w:after="0"/>
              <w:rPr>
                <w:sz w:val="20"/>
                <w:szCs w:val="20"/>
                <w:color w:val="auto"/>
              </w:rPr>
            </w:pPr>
            <w:r>
              <w:rPr>
                <w:rFonts w:ascii="Arial" w:cs="Arial" w:eastAsia="Arial" w:hAnsi="Arial"/>
                <w:sz w:val="18"/>
                <w:szCs w:val="18"/>
                <w:color w:val="auto"/>
              </w:rPr>
              <w:t>Allocated to:</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10,388</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Halston archives</w:t>
            </w: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9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9700" w:type="dxa"/>
            <w:vAlign w:val="bottom"/>
          </w:tcPr>
          <w:p>
            <w:pPr>
              <w:ind w:left="40"/>
              <w:spacing w:after="0"/>
              <w:rPr>
                <w:sz w:val="20"/>
                <w:szCs w:val="20"/>
                <w:color w:val="auto"/>
              </w:rPr>
            </w:pPr>
            <w:r>
              <w:rPr>
                <w:rFonts w:ascii="Arial" w:cs="Arial" w:eastAsia="Arial" w:hAnsi="Arial"/>
                <w:sz w:val="18"/>
                <w:szCs w:val="18"/>
                <w:color w:val="auto"/>
              </w:rPr>
              <w:t>Total acquisition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10,788</w:t>
            </w:r>
          </w:p>
        </w:tc>
      </w:tr>
      <w:tr>
        <w:trPr>
          <w:trHeight w:val="20"/>
        </w:trPr>
        <w:tc>
          <w:tcPr>
            <w:tcW w:w="9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Halston Heritage Trademarks have been determined by management to have a finite useful life, and accordingly, amortization is recorded in the Company’s condensed consolidated statements of operations. The Halston Heritage Trademarks, archives and customer lists are amortized on a straight-line basis over its expected useful life of eighteen, seven and five years,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aggregate purchase price of $10.8 million: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 in thousands, except share amounts)</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Cash</w:t>
            </w:r>
          </w:p>
        </w:tc>
        <w:tc>
          <w:tcPr>
            <w:tcW w:w="3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Common Stock issued (777,778 shares)</w:t>
            </w:r>
          </w:p>
        </w:tc>
        <w:tc>
          <w:tcPr>
            <w:tcW w:w="3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direct initial consideration</w:t>
            </w:r>
          </w:p>
        </w:tc>
        <w:tc>
          <w:tcPr>
            <w:tcW w:w="3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transaction expenses</w:t>
            </w:r>
          </w:p>
        </w:tc>
        <w:tc>
          <w:tcPr>
            <w:tcW w:w="3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Contingent obligation</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3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1950"/>
              <w:spacing w:after="0"/>
              <w:rPr>
                <w:sz w:val="20"/>
                <w:szCs w:val="20"/>
                <w:color w:val="auto"/>
              </w:rPr>
            </w:pPr>
            <w:r>
              <w:rPr>
                <w:rFonts w:ascii="Arial" w:cs="Arial" w:eastAsia="Arial" w:hAnsi="Arial"/>
                <w:sz w:val="18"/>
                <w:szCs w:val="18"/>
                <w:color w:val="auto"/>
              </w:rPr>
              <w:t>11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more fully described in Note 6, concurrent with the acquisition of the Halston Heritage Trademarks, the Company entered into an amended loan agreement with BHI (the “Second Amended and Restated Loan and Security Agreement” or the "Xcel Term Loan"). The Xcel Term Loan amended and restated the existing Bank Hapoalim B.M. ("BHI") term loan (the "Amended Loan Agreement" or the "Prior Term Loan"). Immediately prior to the Closing Date, the aggregate principal amount of the Prior Term Loan was $14.5 million. Pursuant to the Xcel Term Loan, the Lenders have extended to Xcel an additional term loan in the amount of $7.5 million, such that, as of the Closing Date, the aggregate outstanding balance of all the Xcel Term Loan was $22.0 million, which amount has been divided into two term loans: (1) a term loan in the amount of $7.3 million, Term Loan A and (2) a term loan in the amount of $14.7 million, Term Loan B. The proceeds of the additional term loan extended on the Closing Date were used to finance a portion of the Halston Heritage Trademark acquisition described above.</w:t>
      </w:r>
    </w:p>
    <w:p>
      <w:pPr>
        <w:spacing w:after="0" w:line="14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 Net revenues from QVC totaled $6.86 million and $6.79 million for the current and prior year quarter, respectively, representing approximately 82% and 79% of the Company’s net revenues for the current and prior year quarter, respectively. As of March 31, 2019, and December 31, 2018, the Company had receivables from QVC of $6.92 million and $5.68 million, respectively, representing approximately 69% and 52% of the Company’s total receivables,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operating leases for its current office, former office, and certain equipment with a term of 12 months or less. The Company's office leases have remaining lease terms of 2 years to 9 years. The Company does not recognize lease liabilities and ROU assets for lease terms of 12 months or less, but recognizes the lease payments in net income on a straight-line basis over the lease terms. The Company determines if an arrangement is a lease at inception. Operating leases are recorded in operating lease ROU assets, current portion of operating lease liabilities, and long-term operating lease liabilities on its condensed consolidated balance sheets.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The Company uses the implicit rate when readily determinable. The Company’s lease terms may include options to extend or terminate the lease when it is reasonably certain that it will exercise that option. Lease expense for lease payments is recognized on a straight-line basis over the lease term.</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current and prior year quarter, lease expense included in selling, general and administrative expenses on the Company's unaudited condensed consolidated statements of operations was $0.4 million.</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the weighted-average remaining operating lease term was 8.1 years and the weighted-average discount rate for operating leases was 4.9%.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Cash paid for amounts included in the measurement of operating lease liabilities in the current quarter ended March 31, 2019 was $0.6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maturities of lease liabilities were as follows: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w w:val="91"/>
              </w:rPr>
              <w:t>Operating Leases</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2019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5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1,737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5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1,615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After 2023</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5,951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14,033</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Less: Discount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3,066</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1,106</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portion of lease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9,861</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Debt and Contingent Obligations</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gridSpan w:val="3"/>
          </w:tcPr>
          <w:p>
            <w:pPr>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24"/>
                <w:szCs w:val="24"/>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Xcel Term Loan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Unamortized deferred finance costs related to term loan</w:t>
            </w: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 Seller Note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Ripka Seller Note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obligation - Halston Heritage seller</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Contingent obligation - JR Seller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obligation - CW Seller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37"/>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25,487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19,575</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 (i), (ii)</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5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18,387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hanging="490"/>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portion of long-term debt as of March 31, 2019 consists of (a) $4.25 million related to the Xcel Term Loan and (b) $2.85 million related to Contingent Obligations.</w:t>
      </w:r>
    </w:p>
    <w:p>
      <w:pPr>
        <w:spacing w:after="0" w:line="129"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portion of long-term debt presented on the Condensed Consolidated Balance Sheet at December 31, 2018 includes (a) $4.0 million related to the Prior Term Loan, (b) $0.74 million related to the IM Seller Note, (c) $2.95 million related to Contingent Obligations, and (d) $0.58 million related to the Ripka Seller Note.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Xcel Term Loan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11, 2019, the Company entered into an amended loan agreement with BHI refinancing the Prior Term Loan with the Xcel Term Loan. Immediately prior to February 11, 2019, the aggregate principal amount of the Prior Term Loan was $14.5 million. Pursuant to the Xcel Term Loan, the Lenders have extended to Xcel additional term loan proceeds in the amount of $7.5 million, such that, as of the February 11, 2019, the aggregate outstanding balance of all the term loans extended by BHI to Xcel under the Xcel Term Loan was $22.0 million, which amount has been divided under the Xcel Term Loan into two term loans: (1) a term loan in the amount of $7.3 million (“Term Loan A”) and (2) a term loan in the amount of $14.7 million (“Term Loan B” and, together with Term Loan A, the “Term Loans”). The proceeds of the additional term loan were used to finance the Halston Heritage Brands acquisition described above.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and conditions of the Xcel Term Loan resulted in significant debt service payment requirements, compared with the prior term debt with BHI, which included an increase of $7.5 million in the principal balance, and related changes to the timing and amount of principal payments, as well as changes in the interest rate. Management assessed and determined that this amendment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resulted in a loss on extinguishment of debt and recognized a loss of $0.2 million consisting of unamortized deferred finance costs. Upon entering into Xcel Term Loan, Xcel paid an upfront fee in the amount of $0.09 million to BHI.</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Xcel Term Loan also allows that BHI, and any other lender party to the Xcel Term Loan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Xcel Term Loan.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Xcel Term Loan shall terminate no later than one year following the date of issuance thereof.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Principal on the Term Loan A is payable in quarterly installments on each of March 31, June 30, September 30 and December 31 as follows</w:t>
      </w:r>
      <w:r>
        <w:rPr>
          <w:rFonts w:ascii="Arial" w:cs="Arial" w:eastAsia="Arial" w:hAnsi="Arial"/>
          <w:sz w:val="19"/>
          <w:szCs w:val="19"/>
          <w:color w:val="auto"/>
        </w:rPr>
        <w:t>:</w:t>
      </w:r>
    </w:p>
    <w:p>
      <w:pPr>
        <w:spacing w:after="0" w:line="37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7117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180" w:type="dxa"/>
            <w:vAlign w:val="bottom"/>
          </w:tcPr>
          <w:p>
            <w:pPr>
              <w:ind w:left="3780"/>
              <w:spacing w:after="0"/>
              <w:rPr>
                <w:sz w:val="20"/>
                <w:szCs w:val="20"/>
                <w:color w:val="auto"/>
              </w:rPr>
            </w:pPr>
            <w:r>
              <w:rPr>
                <w:rFonts w:ascii="Arial" w:cs="Arial" w:eastAsia="Arial" w:hAnsi="Arial"/>
                <w:sz w:val="18"/>
                <w:szCs w:val="18"/>
                <w:b w:val="1"/>
                <w:bCs w:val="1"/>
                <w:color w:val="auto"/>
              </w:rPr>
              <w:t>Period</w:t>
            </w:r>
          </w:p>
        </w:tc>
        <w:tc>
          <w:tcPr>
            <w:tcW w:w="2560" w:type="dxa"/>
            <w:vAlign w:val="bottom"/>
          </w:tcPr>
          <w:p>
            <w:pPr>
              <w:spacing w:after="0"/>
              <w:rPr>
                <w:sz w:val="20"/>
                <w:szCs w:val="20"/>
                <w:color w:val="auto"/>
              </w:rPr>
            </w:pPr>
          </w:p>
        </w:tc>
        <w:tc>
          <w:tcPr>
            <w:tcW w:w="2460" w:type="dxa"/>
            <w:vAlign w:val="bottom"/>
          </w:tcPr>
          <w:p>
            <w:pPr>
              <w:jc w:val="right"/>
              <w:ind w:right="1170"/>
              <w:spacing w:after="0"/>
              <w:rPr>
                <w:sz w:val="20"/>
                <w:szCs w:val="20"/>
                <w:color w:val="auto"/>
              </w:rPr>
            </w:pPr>
            <w:r>
              <w:rPr>
                <w:rFonts w:ascii="Arial" w:cs="Arial" w:eastAsia="Arial" w:hAnsi="Arial"/>
                <w:sz w:val="18"/>
                <w:szCs w:val="18"/>
                <w:b w:val="1"/>
                <w:bCs w:val="1"/>
                <w:color w:val="auto"/>
              </w:rPr>
              <w:t>Amount</w:t>
            </w:r>
          </w:p>
        </w:tc>
      </w:tr>
      <w:tr>
        <w:trPr>
          <w:trHeight w:val="27"/>
        </w:trPr>
        <w:tc>
          <w:tcPr>
            <w:tcW w:w="6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 September 30, 2020</w:t>
            </w:r>
          </w:p>
        </w:tc>
        <w:tc>
          <w:tcPr>
            <w:tcW w:w="25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6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618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Principal on the Term Loan B is payable in quarterly installments on each of March 31, June 30, September 30 and December 31 as follows:</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wp:posOffset>
            </wp:positionV>
            <wp:extent cx="7126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0" w:type="dxa"/>
            <w:vAlign w:val="bottom"/>
          </w:tcPr>
          <w:p>
            <w:pPr>
              <w:ind w:left="2580"/>
              <w:spacing w:after="0"/>
              <w:rPr>
                <w:sz w:val="20"/>
                <w:szCs w:val="20"/>
                <w:color w:val="auto"/>
              </w:rPr>
            </w:pPr>
            <w:r>
              <w:rPr>
                <w:rFonts w:ascii="Arial" w:cs="Arial" w:eastAsia="Arial" w:hAnsi="Arial"/>
                <w:sz w:val="18"/>
                <w:szCs w:val="18"/>
                <w:b w:val="1"/>
                <w:bCs w:val="1"/>
                <w:color w:val="auto"/>
              </w:rPr>
              <w:t>Period</w:t>
            </w:r>
          </w:p>
        </w:tc>
        <w:tc>
          <w:tcPr>
            <w:tcW w:w="2560" w:type="dxa"/>
            <w:vAlign w:val="bottom"/>
          </w:tcPr>
          <w:p>
            <w:pPr>
              <w:spacing w:after="0"/>
              <w:rPr>
                <w:sz w:val="20"/>
                <w:szCs w:val="20"/>
                <w:color w:val="auto"/>
              </w:rPr>
            </w:pPr>
          </w:p>
        </w:tc>
        <w:tc>
          <w:tcPr>
            <w:tcW w:w="2460" w:type="dxa"/>
            <w:vAlign w:val="bottom"/>
          </w:tcPr>
          <w:p>
            <w:pPr>
              <w:jc w:val="right"/>
              <w:ind w:right="1170"/>
              <w:spacing w:after="0"/>
              <w:rPr>
                <w:sz w:val="20"/>
                <w:szCs w:val="20"/>
                <w:color w:val="auto"/>
              </w:rPr>
            </w:pPr>
            <w:r>
              <w:rPr>
                <w:rFonts w:ascii="Arial" w:cs="Arial" w:eastAsia="Arial" w:hAnsi="Arial"/>
                <w:sz w:val="18"/>
                <w:szCs w:val="18"/>
                <w:b w:val="1"/>
                <w:bCs w:val="1"/>
                <w:color w:val="auto"/>
              </w:rPr>
              <w:t>Amount</w:t>
            </w:r>
          </w:p>
        </w:tc>
      </w:tr>
      <w:tr>
        <w:trPr>
          <w:trHeight w:val="27"/>
        </w:trPr>
        <w:tc>
          <w:tcPr>
            <w:tcW w:w="6200" w:type="dxa"/>
            <w:vAlign w:val="bottom"/>
            <w:tcBorders>
              <w:bottom w:val="single" w:sz="8" w:color="auto"/>
            </w:tcBorders>
            <w:gridSpan w:val="3"/>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6200" w:type="dxa"/>
            <w:vAlign w:val="bottom"/>
            <w:gridSpan w:val="3"/>
          </w:tcPr>
          <w:p>
            <w:pPr>
              <w:ind w:left="20"/>
              <w:spacing w:after="0"/>
              <w:rPr>
                <w:sz w:val="20"/>
                <w:szCs w:val="20"/>
                <w:color w:val="auto"/>
              </w:rPr>
            </w:pPr>
            <w:r>
              <w:rPr>
                <w:rFonts w:ascii="Arial" w:cs="Arial" w:eastAsia="Arial" w:hAnsi="Arial"/>
                <w:sz w:val="18"/>
                <w:szCs w:val="18"/>
                <w:color w:val="auto"/>
              </w:rPr>
              <w:t>March 31, 2020– September 30, 2020</w:t>
            </w:r>
          </w:p>
        </w:tc>
        <w:tc>
          <w:tcPr>
            <w:tcW w:w="25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0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43"/>
        </w:trPr>
        <w:tc>
          <w:tcPr>
            <w:tcW w:w="800" w:type="dxa"/>
            <w:vAlign w:val="bottom"/>
          </w:tcPr>
          <w:p>
            <w:pPr>
              <w:ind w:left="20"/>
              <w:spacing w:after="0"/>
              <w:rPr>
                <w:sz w:val="20"/>
                <w:szCs w:val="20"/>
                <w:color w:val="auto"/>
              </w:rPr>
            </w:pPr>
            <w:r>
              <w:rPr>
                <w:rFonts w:ascii="Arial" w:cs="Arial" w:eastAsia="Arial" w:hAnsi="Arial"/>
                <w:sz w:val="18"/>
                <w:szCs w:val="18"/>
                <w:color w:val="auto"/>
                <w:w w:val="94"/>
              </w:rPr>
              <w:t>March 31,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c>
          <w:tcPr>
            <w:tcW w:w="500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25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1,125</w:t>
            </w:r>
          </w:p>
        </w:tc>
      </w:tr>
      <w:tr>
        <w:trPr>
          <w:trHeight w:val="27"/>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0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43"/>
        </w:trPr>
        <w:tc>
          <w:tcPr>
            <w:tcW w:w="800" w:type="dxa"/>
            <w:vAlign w:val="bottom"/>
          </w:tcPr>
          <w:p>
            <w:pPr>
              <w:ind w:left="20"/>
              <w:spacing w:after="0"/>
              <w:rPr>
                <w:sz w:val="20"/>
                <w:szCs w:val="20"/>
                <w:color w:val="auto"/>
              </w:rPr>
            </w:pPr>
            <w:r>
              <w:rPr>
                <w:rFonts w:ascii="Arial" w:cs="Arial" w:eastAsia="Arial" w:hAnsi="Arial"/>
                <w:sz w:val="18"/>
                <w:szCs w:val="18"/>
                <w:color w:val="auto"/>
                <w:w w:val="94"/>
              </w:rPr>
              <w:t>March 31,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2023</w:t>
            </w:r>
          </w:p>
        </w:tc>
        <w:tc>
          <w:tcPr>
            <w:tcW w:w="5000" w:type="dxa"/>
            <w:vAlign w:val="bottom"/>
          </w:tcPr>
          <w:p>
            <w:pPr>
              <w:ind w:left="20"/>
              <w:spacing w:after="0"/>
              <w:rPr>
                <w:sz w:val="20"/>
                <w:szCs w:val="20"/>
                <w:color w:val="auto"/>
              </w:rPr>
            </w:pPr>
            <w:r>
              <w:rPr>
                <w:rFonts w:ascii="Arial" w:cs="Arial" w:eastAsia="Arial" w:hAnsi="Arial"/>
                <w:sz w:val="18"/>
                <w:szCs w:val="18"/>
                <w:color w:val="auto"/>
              </w:rPr>
              <w:t>– December 31, 2023</w:t>
            </w:r>
          </w:p>
        </w:tc>
        <w:tc>
          <w:tcPr>
            <w:tcW w:w="25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1,250</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therein and to terminate the Lenders’ obligations to make Revolving Loans and issue letters of credit; provided that any prepayment of less than all of the outstanding balances of Term Loans and Incremental Term Loans shall be applied to the remaining amounts due in inverse order of maturity.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 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Xcel is required to repay a portion of the Xcel Term Loan in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w:t>
      </w:r>
    </w:p>
    <w:p>
      <w:pPr>
        <w:spacing w:after="0" w:line="188" w:lineRule="exact"/>
        <w:rPr>
          <w:sz w:val="20"/>
          <w:szCs w:val="20"/>
          <w:color w:val="auto"/>
        </w:rPr>
      </w:pPr>
    </w:p>
    <w:p>
      <w:pPr>
        <w:jc w:val="both"/>
        <w:ind w:right="20" w:firstLine="58"/>
        <w:spacing w:after="0" w:line="264" w:lineRule="auto"/>
        <w:rPr>
          <w:sz w:val="20"/>
          <w:szCs w:val="20"/>
          <w:color w:val="auto"/>
        </w:rPr>
      </w:pPr>
      <w:r>
        <w:rPr>
          <w:rFonts w:ascii="Arial" w:cs="Arial" w:eastAsia="Arial" w:hAnsi="Arial"/>
          <w:sz w:val="18"/>
          <w:szCs w:val="18"/>
          <w:color w:val="auto"/>
        </w:rPr>
        <w:t>Xcel’s obligations under the Xcel Term Loan are guaranteed by and secured by all of the assets of Xcel and its wholly-owned subsidiaries, as well as any subsidiary formed or acquired that becomes a credit party to the Xcel Term Loan agreement (the “Guarantors”) and, subject to certain limitations contained in Xcel Term Loan, equity interests of the Guarantors.</w:t>
      </w:r>
    </w:p>
    <w:p>
      <w:pPr>
        <w:spacing w:after="0" w:line="181" w:lineRule="exact"/>
        <w:rPr>
          <w:sz w:val="20"/>
          <w:szCs w:val="20"/>
          <w:color w:val="auto"/>
        </w:rPr>
      </w:pPr>
    </w:p>
    <w:p>
      <w:pPr>
        <w:jc w:val="both"/>
        <w:ind w:firstLine="50"/>
        <w:spacing w:after="0" w:line="277" w:lineRule="auto"/>
        <w:rPr>
          <w:sz w:val="20"/>
          <w:szCs w:val="20"/>
          <w:color w:val="auto"/>
        </w:rPr>
      </w:pPr>
      <w:r>
        <w:rPr>
          <w:rFonts w:ascii="Arial" w:cs="Arial" w:eastAsia="Arial" w:hAnsi="Arial"/>
          <w:sz w:val="18"/>
          <w:szCs w:val="18"/>
          <w:color w:val="auto"/>
        </w:rPr>
        <w:t>Xcel also granted the Lenders a right of first offer to finance any acquisition for which the consideration therefore will be paid other than by cash of Xcel or by the issuance of equity interest of Xcel.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on the Term Loan A accrues at a fixed rate of 5.1% per annum and is payable on each day on which the scheduled principal payments on the Term Loan A are required to be made. Interest on the Term Loan B accrues at a fixed rate of 6.25% per annum and is payable on each day on which the scheduled principal payments on the Term Loan B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Xcel Term Loan contains customary covenants, including reporting requirements, trademark preservation and the following financial covenants of Xcel (on a consolidated basis with Xcel’s and the Guarantors under the Second Amended and Restated Loan and Security Agreement):</w:t>
      </w:r>
    </w:p>
    <w:p>
      <w:pPr>
        <w:spacing w:after="0" w:line="14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worth of at least $90.0 million at the end of each fiscal quarter;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 assets of at least $5.0 million at all times;</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fixed charge coverage ratio for the twelve-fiscal month period ending at the end of each fiscal quarter shall not be less than the ratio set forth below for such fiscal period:</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960" w:type="dxa"/>
            <w:vAlign w:val="bottom"/>
          </w:tcPr>
          <w:p>
            <w:pPr>
              <w:ind w:left="3280"/>
              <w:spacing w:after="0"/>
              <w:rPr>
                <w:sz w:val="20"/>
                <w:szCs w:val="20"/>
                <w:color w:val="auto"/>
              </w:rPr>
            </w:pPr>
            <w:r>
              <w:rPr>
                <w:rFonts w:ascii="Arial" w:cs="Arial" w:eastAsia="Arial" w:hAnsi="Arial"/>
                <w:sz w:val="18"/>
                <w:szCs w:val="18"/>
                <w:b w:val="1"/>
                <w:bCs w:val="1"/>
                <w:color w:val="auto"/>
              </w:rPr>
              <w:t>Fiscal Quarter End</w:t>
            </w:r>
          </w:p>
        </w:tc>
        <w:tc>
          <w:tcPr>
            <w:tcW w:w="3240" w:type="dxa"/>
            <w:vAlign w:val="bottom"/>
          </w:tcPr>
          <w:p>
            <w:pPr>
              <w:ind w:left="140"/>
              <w:spacing w:after="0"/>
              <w:rPr>
                <w:sz w:val="20"/>
                <w:szCs w:val="20"/>
                <w:color w:val="auto"/>
              </w:rPr>
            </w:pPr>
            <w:r>
              <w:rPr>
                <w:rFonts w:ascii="Arial" w:cs="Arial" w:eastAsia="Arial" w:hAnsi="Arial"/>
                <w:sz w:val="18"/>
                <w:szCs w:val="18"/>
                <w:b w:val="1"/>
                <w:bCs w:val="1"/>
                <w:color w:val="auto"/>
              </w:rPr>
              <w:t>Fixed Charge Coverage Ratio</w:t>
            </w:r>
          </w:p>
        </w:tc>
      </w:tr>
      <w:tr>
        <w:trPr>
          <w:trHeight w:val="27"/>
        </w:trPr>
        <w:tc>
          <w:tcPr>
            <w:tcW w:w="79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 March 31, 2020, June 30, 2020, September 30, 2020</w:t>
            </w:r>
          </w:p>
        </w:tc>
        <w:tc>
          <w:tcPr>
            <w:tcW w:w="32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1.05 to 1.00</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w w:val="90"/>
              </w:rPr>
              <w:t>December 31, 2020, March 31, 2021, June 30, 2021, September 30, 2021, December 31, 2021 and thereafter</w:t>
            </w:r>
          </w:p>
        </w:tc>
        <w:tc>
          <w:tcPr>
            <w:tcW w:w="3240" w:type="dxa"/>
            <w:vAlign w:val="bottom"/>
          </w:tcPr>
          <w:p>
            <w:pPr>
              <w:ind w:left="1240"/>
              <w:spacing w:after="0"/>
              <w:rPr>
                <w:sz w:val="20"/>
                <w:szCs w:val="20"/>
                <w:color w:val="auto"/>
              </w:rPr>
            </w:pPr>
            <w:r>
              <w:rPr>
                <w:rFonts w:ascii="Arial" w:cs="Arial" w:eastAsia="Arial" w:hAnsi="Arial"/>
                <w:sz w:val="18"/>
                <w:szCs w:val="18"/>
                <w:color w:val="auto"/>
              </w:rPr>
              <w:t>1.10 to 1.00</w:t>
            </w:r>
          </w:p>
        </w:tc>
      </w:tr>
    </w:tbl>
    <w:p>
      <w:pPr>
        <w:spacing w:after="0" w:line="1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shall not exceed $1.7 million for fiscal year December 31,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shall not exceed $0.7 million for any fiscal year beginning after December 31, 2018;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leverage ratio for the twelve-fiscal month period ending at the end of each fiscal period set forth below shall not exceed the ratio below:</w:t>
      </w:r>
    </w:p>
    <w:p>
      <w:pPr>
        <w:spacing w:after="0" w:line="164"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6100" w:type="dxa"/>
            <w:vAlign w:val="bottom"/>
          </w:tcPr>
          <w:p>
            <w:pPr>
              <w:ind w:left="2780"/>
              <w:spacing w:after="0"/>
              <w:rPr>
                <w:sz w:val="20"/>
                <w:szCs w:val="20"/>
                <w:color w:val="auto"/>
              </w:rPr>
            </w:pPr>
            <w:r>
              <w:rPr>
                <w:rFonts w:ascii="Arial" w:cs="Arial" w:eastAsia="Arial" w:hAnsi="Arial"/>
                <w:sz w:val="18"/>
                <w:szCs w:val="18"/>
                <w:b w:val="1"/>
                <w:bCs w:val="1"/>
                <w:color w:val="auto"/>
              </w:rPr>
              <w:t>Fiscal Period</w:t>
            </w:r>
          </w:p>
        </w:tc>
        <w:tc>
          <w:tcPr>
            <w:tcW w:w="2980" w:type="dxa"/>
            <w:vAlign w:val="bottom"/>
          </w:tcPr>
          <w:p>
            <w:pPr>
              <w:ind w:left="480"/>
              <w:spacing w:after="0"/>
              <w:rPr>
                <w:sz w:val="20"/>
                <w:szCs w:val="20"/>
                <w:color w:val="auto"/>
              </w:rPr>
            </w:pPr>
            <w:r>
              <w:rPr>
                <w:rFonts w:ascii="Arial" w:cs="Arial" w:eastAsia="Arial" w:hAnsi="Arial"/>
                <w:sz w:val="18"/>
                <w:szCs w:val="18"/>
                <w:b w:val="1"/>
                <w:bCs w:val="1"/>
                <w:color w:val="auto"/>
              </w:rPr>
              <w:t>Maximum Leverage Ratio</w:t>
            </w:r>
          </w:p>
        </w:tc>
      </w:tr>
      <w:tr>
        <w:trPr>
          <w:trHeight w:val="27"/>
        </w:trPr>
        <w:tc>
          <w:tcPr>
            <w:tcW w:w="61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9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2.90 to 1.00</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w w:val="96"/>
              </w:rPr>
              <w:t>December 31, 2019, March 31, 2020, June 30, 2020, and September 30, 2020</w:t>
            </w:r>
          </w:p>
        </w:tc>
        <w:tc>
          <w:tcPr>
            <w:tcW w:w="2980" w:type="dxa"/>
            <w:vAlign w:val="bottom"/>
          </w:tcPr>
          <w:p>
            <w:pPr>
              <w:ind w:left="1280"/>
              <w:spacing w:after="0"/>
              <w:rPr>
                <w:sz w:val="20"/>
                <w:szCs w:val="20"/>
                <w:color w:val="auto"/>
              </w:rPr>
            </w:pPr>
            <w:r>
              <w:rPr>
                <w:rFonts w:ascii="Arial" w:cs="Arial" w:eastAsia="Arial" w:hAnsi="Arial"/>
                <w:sz w:val="18"/>
                <w:szCs w:val="18"/>
                <w:color w:val="auto"/>
              </w:rPr>
              <w:t>2.40 to 1.00</w:t>
            </w:r>
          </w:p>
        </w:tc>
      </w:tr>
      <w:tr>
        <w:trPr>
          <w:trHeight w:val="27"/>
        </w:trPr>
        <w:tc>
          <w:tcPr>
            <w:tcW w:w="61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December 31, 2020, March 31, 2021, June 30, 2021 and September 30, 2021</w:t>
            </w:r>
          </w:p>
        </w:tc>
        <w:tc>
          <w:tcPr>
            <w:tcW w:w="29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1.70 to 1.00</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December 31, 2021 and each Fiscal Quarter end thereafter</w:t>
            </w:r>
          </w:p>
        </w:tc>
        <w:tc>
          <w:tcPr>
            <w:tcW w:w="2980" w:type="dxa"/>
            <w:vAlign w:val="bottom"/>
          </w:tcPr>
          <w:p>
            <w:pPr>
              <w:ind w:left="1280"/>
              <w:spacing w:after="0"/>
              <w:rPr>
                <w:sz w:val="20"/>
                <w:szCs w:val="20"/>
                <w:color w:val="auto"/>
              </w:rPr>
            </w:pPr>
            <w:r>
              <w:rPr>
                <w:rFonts w:ascii="Arial" w:cs="Arial" w:eastAsia="Arial" w:hAnsi="Arial"/>
                <w:sz w:val="18"/>
                <w:szCs w:val="18"/>
                <w:color w:val="auto"/>
              </w:rPr>
              <w:t>1.50 to 1.00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applicable covenants as of March 31, 2019.</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current and prior year quarter, the Company incurred aggregate interest expense on its Prior Term Debt and Xcel Term Loan of approximately $260,167 and $236,000,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 Seller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On September 19, 2016, the Company’s note payable to the sellers of the Isaac Mizrahi business (the “IM Seller Note") was further amended and restated to</w:t>
      </w:r>
    </w:p>
    <w:p>
      <w:pPr>
        <w:spacing w:after="0" w:line="46" w:lineRule="exact"/>
        <w:rPr>
          <w:sz w:val="20"/>
          <w:szCs w:val="20"/>
          <w:color w:val="auto"/>
        </w:rPr>
      </w:pPr>
    </w:p>
    <w:p>
      <w:pPr>
        <w:jc w:val="both"/>
        <w:ind w:firstLine="8"/>
        <w:spacing w:after="0" w:line="273" w:lineRule="auto"/>
        <w:tabs>
          <w:tab w:leader="none" w:pos="29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revise the maturity date to March 31, 2019, (2) require six semi-annual principal and interest installment payments of $750,000, commencing on March 31, 2017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2019, the Company paid the final installment of $750,000 under the IM Seller Note.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For the current and prior year quarter, the Company incurred interest expense of approximately $8,000 and $12,000, respectively, under the IM Seller Note.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the Company had a note payable of approximately $0.58 million relating to the acquisition of the Judith Ripka assets (the "Ripka Seller Note"). Separately, the Company held a promissory note receivable due from the sellers of the Judith Ripka assets (the "Ripka Sellers") with a maturity date of March 31, 2019. On March 31, 2019, the Company agreed to net its note receivable due from the Ripka Seller Note of approximately $0.9 million against the Ripka Seller note of $0.6 million and the remaining Ripka Earn-out of $0.1 million (see below). As of March 31, 2019, the balance of the Ripka Seller Note was $0.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current and prior year quarter, the Company incurred interest expense of approximately $10,000 in each period, under the Ripka Seller Note, which consisted solely of amortization of the discount on the Ripka Seller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Ripka earn-out is contingent upon the Ripka Brand achieving at least $6,000,000 of net royalty income from QVC during each of the 12-month periods ending on March 31, 2018 and 2019, and is payable in equal cash payments on each of May 15, 2018 and 2019. As of March 31, 2019, and December 31, 2018, the Ripka Earn-Out was $0.1 million and $0.2 million, respectively. The Ripka Brand achieved the above-indicated threshold of net royalty income from QVC during the 12-month period ended March 31, 2018, and on May 15, 2018, the Company settled the $100,000 earnout due by reducing the principal amount owed by Judith Ripka to the Company under a promissory note. On March 31, 2019, the Company satisfied the remaining Ripka Earn-Out balance of $0.1 million by off-setting the amount against the promissory note receivable. As of March 31, 2019, the balance of the Ripka Earn-Out was $0.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CW Seller (C Wonder Earn-Out)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12-month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current portion of long-term debt in the accompanying condensed consolidated balance sheets as of March 31, 2019 and December 31,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Halston Heritage Seller (Heritage Earn-out)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February 11, 2019 purchase of the Halston Heritage Trademarks from HIP, the Company agreed to pay HIP additional consideration (the “Halston Heritage Earn-Out”) (see Note 3). The Halston Heritage Earn-Out of $0.9 million is recorded as long-term debt at March 31, 2019 in the accompanying condensed consolidated balance sheets based on the difference between the fair value of the acquired assets of the Halston Heritage Trademarks and the total consideration paid. In accordance with ASC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Topic 480, the Halston Heritage Earn-Out obligation is treated as a liability in the accompanying condensed consolidated balance sheets because of the variable number of shares payable under the agreement.</w:t>
      </w:r>
    </w:p>
    <w:p>
      <w:pPr>
        <w:spacing w:after="0" w:line="12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5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non-employee awards in accordance with ASU 2018-07, “Compensation - Stock Compensation (Topic 718) - Improvements to Nonemployee Share-Based Payment Accounting”.</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30, 2018, the Company granted options to purchase an aggregate of 50,000 shares of common stock to a certain key employee. The exercise price of the options is $5.50 per share, and all options vested immediately on the date of grant.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 2018, the Company granted options to purchase an aggregate of 150,000 shares of common stock to non-management directors. The exercise price of the options is $3.00 per share, and 50% of the options will vest on each of April 2, 2019 and April 2, 2020.</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1, 2019, the Company granted options to purchase 250,000 shares of common stock to a certain key employee. The exercise price is $3.00 per share, and the vesting of such options is dependent upon the Company achieving certain 12-month sales targets through December 31, 2021.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27, 2019, the Company granted options to purchase 2,578,947 shares of common stock to Robert D’Loren, the Company’s Chief Executive Officer. The exercise price is $1.70 per share, and the vesting of such options is dependent upon the Company’s common stock achieving certain stock trading prices for a minimum of ten (10) trading days (the "Target Prices"). The vesting of 736,842 shares occur if the Target Prices are equal to or greater than $3.00 per share; 626,316 shares vest if the Target Price is equal to or greater than $5.00 per share; 515,789 shares vest if the Target Price is equal to or greater than $7.00 per share; 405,263 shares vest if the Target Price is equal to or greater than $9.00 per share; and 294,737 shares vest if the Target Price is equal to or greater than $11.00 per share. The options are exercisable until February 27, 2029.</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27, 2019, the Company granted options to purchase 552,632 shares of common stock to James Haran, the Company’s Chief Financial Officer. The exercise price is $1.70 per share, and the vesting of such options is dependent upon the Company’s common stock achieving certain stock trading prices for a minimum of ten (10) trading days (the "Target Prices"). The vesting of 157,895 shares occur if the Target Prices are equal to or greater than $3.00 per share; 134,211 shares vest if the Target Price is equal to or greater than $5.00 per share; 110,526 shares vest if the Target Price is equal to or greater than $7.00 per share; 86,842 shares vest if the Target Price is equal to or greater than $9.00 per share; and 63,158 shares vest if the Target Price is equal to or greater than $11.00 per share. The options are exercisable until February 27, 2029.</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27, 2019, the Company granted options to purchase 368,421 shares of common stock to Seth Burroughs, an officer of the Company. The exercise price is $1.70 per share, and the vesting of such options is dependent upon the Company’s common stock achieving certain stock trading prices for a minimum of ten (10) trading days (the "Target Prices"). The vesting of 105,263 shares occur if the Target Prices are equal to or greater than $3.00 per share; 89,474 shares vest if the Target Price is equal to or greater than $5.00 per share; 73,684 shares vest if the Target Price is equal to or greater than $7.00 per share; 57,895 shares vest if the Target Price is equal to or greater than $9.00; and 42,105 shares vest if the Target Price is equal to or greater than $11.00 per share. The options are exercisable until February 27, 2029.</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13, 2019, the Company granted an aggregate of 154,000 shares to various key employees. The exercise price of the options is $1.73 per share, and all options vested immediately on the date of grant.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15, 2019, the Company granted options to purchase an aggregate of 50,000 shares of common stock to a certain key employee. The exercise price of the options is $5.50 per share, and all options vested immediately on the date of grant.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activity for the current three months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60" w:type="dxa"/>
            <w:vAlign w:val="bottom"/>
          </w:tcPr>
          <w:p>
            <w:pPr>
              <w:spacing w:after="0"/>
              <w:rPr>
                <w:sz w:val="20"/>
                <w:szCs w:val="20"/>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3,257,875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3,954,000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2019, and expected to vest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7,147,710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2,672,710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$243,000 and $280,000, respectively. Total unrecognized compensation expense related to unvested stock options at March 31, 2019 amounts to approximately $467,000 and is expected to be recognized over a weighted average period of 2.36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three months: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3,954,000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 or 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(52,665)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4,475,000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 either five, seven, or ten years from the date of grant, depending on the particular grant.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warrants activity for the current three months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4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Outstanding and exercisable at March 31,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1,214,815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was recognized in the current three months related to warrants.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On March 14, 2018, the Company issued an aggregate of 90,209 shares of stock to certain non-executive employees, which vested immediately.</w:t>
      </w:r>
    </w:p>
    <w:p>
      <w:pPr>
        <w:spacing w:after="0" w:line="19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February 27, 2019, the Company entered into a two-year employment agreement with a key employee which includes a performance stock bonus of up to $90,000 for each of the years ended December 31, 2019 and 2020. The performance stock bonus is earned upon the Company achieving certain sales targets.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A summary of the Company’s restricted stock activity for the current three months is as follows: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8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3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3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83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Outstanding at March 31,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1,419,210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$104,000 and $201,000, respectively. Compensation expense related to restricted stock grants for the current and prior year three months, was approximately $104,000 and $201,000, respectively. Total unrecognized compensation expense related to unvested restricted stock grants at March 31, 2019 amounts to approximately $150,000 and is expected to be recognized over a weighted average period of 1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there were 1,924,114 shares of common stock available for issuance under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there were 10,286,639 shares of common stock reserved for issuance pursuant to unexercised warrants and stock options, or available for issuance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18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is computed by dividing net income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07" w:lineRule="exact"/>
        <w:rPr>
          <w:sz w:val="20"/>
          <w:szCs w:val="20"/>
          <w:color w:val="auto"/>
        </w:rPr>
      </w:pPr>
    </w:p>
    <w:p>
      <w:pPr>
        <w:jc w:val="center"/>
        <w:ind w:left="78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860"/>
        <w:spacing w:after="0"/>
        <w:rPr>
          <w:sz w:val="20"/>
          <w:szCs w:val="20"/>
          <w:color w:val="auto"/>
        </w:rPr>
      </w:pPr>
      <w:r>
        <w:rPr>
          <w:rFonts w:ascii="Arial" w:cs="Arial" w:eastAsia="Arial" w:hAnsi="Arial"/>
          <w:sz w:val="18"/>
          <w:szCs w:val="18"/>
          <w:b w:val="1"/>
          <w:bCs w:val="1"/>
          <w:color w:val="auto"/>
        </w:rPr>
        <w:t>March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54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5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18,562,073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18,333,912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Effect of exercise of warrants</w:t>
            </w:r>
          </w:p>
        </w:tc>
        <w:tc>
          <w:tcPr>
            <w:tcW w:w="5460" w:type="dxa"/>
            <w:vAlign w:val="bottom"/>
            <w:gridSpan w:val="2"/>
          </w:tcPr>
          <w:p>
            <w:pPr>
              <w:jc w:val="right"/>
              <w:ind w:right="3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364,130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exercise of stock options</w:t>
            </w:r>
          </w:p>
        </w:tc>
        <w:tc>
          <w:tcPr>
            <w:tcW w:w="40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Diluted</w:t>
            </w:r>
          </w:p>
        </w:tc>
        <w:tc>
          <w:tcPr>
            <w:tcW w:w="40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18,562,763</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18,716,802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00" w:type="dxa"/>
            <w:vAlign w:val="bottom"/>
            <w:vMerge w:val="restart"/>
          </w:tcPr>
          <w:p>
            <w:pPr>
              <w:jc w:val="right"/>
              <w:ind w:right="2230"/>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67"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March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warrants</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4,862,525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4,849,834</w:t>
            </w:r>
          </w:p>
        </w:tc>
      </w:tr>
      <w:tr>
        <w:trPr>
          <w:trHeight w:val="20"/>
        </w:trPr>
        <w:tc>
          <w:tcPr>
            <w:tcW w:w="8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37% and 46%, respectively, resulting in an income tax provision of $0.08 million and $0.43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current quarter the federal statutory rate differs from the effective tax rate primarily due to state taxes and recurring permanent differences, which increased the effective tax rate by approximately 10.00% and 7.00%,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prior year quarter, the effective tax rate was primarily attributable to the tax impact from the vesting of restricted shares of common stock, which was treated as a discrete item for tax purposes. This item increased the effective rate by 6% for the prior year quarter. The effective tax rate was also attributable to recurring permanent differences. Based on the amount of income before income taxes compared to the recurring permanent differences, the effective rate increased by 11% for the prior year quarter.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Cuts and Jobs Act (“the Act”) was enacted on December 22, 2017. The income tax effects of changes in tax laws are recognized in the period when enacted. The Act provides for numerous significant tax law changes and modifications with varying effective dates, which include reducing the U.S. federal corporate income tax rate from a maximum of 35% to 21%, creating a territorial tax system (with a one-time mandatory repatriation tax on previously deferred foreign earnings), broadening the tax base, and allowing for immediate capital expensing of certain qualified property acquired and placed in service after September 27, 2017 and before January 1, 2023.</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response to the enactment of the Act in late 2017, the U. S. Securities and Exchange Commission issued Staff Accounting Bulletin No. 118 (“SAB 118”), that permits filers to record provisional amounts during a measurement period ending no later than one year from the date of the Act’s enactment. As of December 31, 2018, the Company finalized its accounting for the income tax effects of the Act and had no change to its original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is the former Chief Executive Officer of HOH.</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Through October 26, 2018, the Company was negotiating proposed new arrangements and operated under those terms as an at-will license as set forth below:</w:t>
      </w:r>
    </w:p>
    <w:p>
      <w:pPr>
        <w:spacing w:after="0" w:line="208" w:lineRule="exact"/>
        <w:rPr>
          <w:sz w:val="20"/>
          <w:szCs w:val="20"/>
          <w:color w:val="auto"/>
        </w:rPr>
      </w:pPr>
    </w:p>
    <w:p>
      <w:pPr>
        <w:jc w:val="both"/>
        <w:ind w:left="660" w:hanging="490"/>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HIP Trademark Usage and Royalty Participation Agreement, had an initial term that expired on December 31, 2020 unless sooner terminated or renewed, and we shall pay to HIP: (i) 50% of the excess H Halston Royalty paid to us under the DRT Licenses and any other third party licenses that we may enter into; (ii)25%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was payable by us and at our sole discretion either (a) in cash, or (b) in a number of common shares of Xcel calculated based on the amount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the Buy-Out Payment divided by the average closing price for common shares of Xcel on a national exchange for the preceding five trading days, subject to a minimum price for common shares of Xcel of $7.00 per common share.</w:t>
      </w:r>
    </w:p>
    <w:p>
      <w:pPr>
        <w:spacing w:after="0" w:line="103" w:lineRule="exact"/>
        <w:rPr>
          <w:sz w:val="20"/>
          <w:szCs w:val="20"/>
          <w:color w:val="auto"/>
        </w:rPr>
      </w:pPr>
    </w:p>
    <w:p>
      <w:pPr>
        <w:jc w:val="both"/>
        <w:ind w:left="660" w:hanging="328"/>
        <w:spacing w:after="0" w:line="27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was also responsible for overseeing the visual merchandising and in-store retail environments for such approved retailers, as well as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2018, subsequent design fees of $2.4 million for the contractual yearly periods ending on January 31, 2019, and on December 31, 2020, 2021, and 2022, respectively, and sales-based royalties on the categories of products licensed under the agreement and the contractual year of payment.</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October 26, 2018, the Company and HOH terminated the HIP License Agreement including all amendments, and the HIP Sublicense Agreement. In addition, the at-will license was terminated and no longer in effect as of October 26, 2018.</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the at-will- license, the Company recorded approximately $0 and $0.60 million of revenue from HOC for the current quarter and the prior year quarter, respectively. The Company had a receivable balance of $0 and $1.5 million due from HOC as of March 31, 2019 and December 31, 2018, respectively.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11, 2019 (the Closing date"), the Company and its wholly owned subsidiary, H Heritage Licensing, LLC, completed the acquisition of the Halston Heritage Trademarks. See Note 3, "Acquisition of Halston Heritage Trademarks".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2018.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Xcel Brands, Inc. (“Xcel,” the “Company,” “we,” “us,” or “our”) is a media and consumer products company engaged in the design, production, marketing, and direct-to-consumer sales of branded apparel, footwear, accessories, jewelry, home goods and other consumer products, and the acquisition of dynamic consumer lifestyle brands. We have developed a Fast-to-Market supply chain capability driven by our proprietary integrated technology platform. Currently, our brand portfolio consists of the Isaac Mizrahi Brand, the Judith Ripka Brand, the Halston Brands, the C Wonder Brand, and the Highline Collective brand.</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license our brands to third parties, provide certain design, production, marketing and distribution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expand our Judith Ripka Fine Jewelry e-commerce and wholesale businesses. We leveraged our Fast-to-Market supply chain capability, which includes the launch of our apparel wholesale business in November 2018.</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following primary strategies:</w:t>
      </w:r>
    </w:p>
    <w:p>
      <w:pPr>
        <w:spacing w:after="0" w:line="13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whereby we design, manage production, merchandise the shows, and manage the on-air talent;</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distribution of our brands to retailers that sell to the end consumer (wholesale);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distribution of our brands through our e-commerce site directly to the end consumer;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entering into strategic supply agreements directly with overseas factories for distribution to our retail partners and through our own direct-to-consumer e-commerce sites; and</w:t>
      </w:r>
    </w:p>
    <w:p>
      <w:pPr>
        <w:ind w:right="180" w:firstLine="332"/>
        <w:spacing w:after="0" w:line="281"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quickly integrate additional brands into our platform and leverage our design, production and marketing capabilities, and distribution relationships. We believe that we offer a unique value proposition to our retail and direct-to-consumer customers, and our licensees for the following reasons: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Fast-to-Market supply chain and integrated technology platform enables us to design and distribute trend-right product;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strategy distinguishes us from other consumer product wholesale companies and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multiple distribution channels.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vision is intended to reimagine shopping, entertainment, and social as one. By leveraging digital and social media content across all distribution channels, we seek to drive consumer engagement and generate retail sales across our brands. Our strong relationships with leading retailers and interactive television companies and cable networks enable us to reach consumers in over 400 million homes worldwide and hundreds of millions of social media followers.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Fast-to-Market production platform provides significant competitive advantages compared with traditional wholesale apparel companies that design, manufacture, and distribute products. We focus on our core competencies of design, integrated technologies, Fast-to-Market production, marketing, and brand development. We believe that we offer a 360-degree solution to our retail partners that addresses many of the challenges facing the retail industry today. We believe our platform is highly scalable. Additionally, we believe we can quickly integrate additional brands into our platform in order to leverage our design, production, marketing capabilities, and distribution network.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2019 (the “current quarter”) compared with the three months ended March 31, 2018 (the “prior year quarter”)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 quarter total revenue increased approximately $1.5 million to $10.3 million from $8.8 million for the prior year quarter. Our jewelry wholesale and e-commerce sales and apparel wholesale sales contributed approximately $2.4 million to the increase in total revenue in the current quarter, as compared to $0.3 million in the prior year quarter. The increase in sales was primarily attributable to the launch of our apparel wholesale business in November 2018 and the growth in our Judith Ripka Fine Jewelry e-commerce business.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licensing revenue decreased by approximately $(0.6) million in the current quarter to $7.9 million from $8.5 million in the prior year quarter as design and service fees revenue decreased as a result of the transition of our department store business from a license model to a wholesale business. Current quarter net revenue decreased approximately $(0.1) million to $8.5 million from $8.6 million for the prior year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Current quarter cost of goods sold was $1.8 million, compared to $0.2 million for the prior year quarter due to higher volume of wholesale sales in the current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costs and expenses increased approximately $0.41 million to $7.8 million for the current quarter from approximately $7.4 million in the prior year quarter. This increase was primarily attributable to an increase in amortization expense of our intangible assets of approximately $0.50 million, attributable to the change in the previously owned Halston trademarks from an indefinite lived-asset to a finite lived-asset, and the acquisition of the Halston and Halston Heritage trademarks, also determined to be finite-lived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and finance expense for the current quarter was $0.48 million and the prior year quarter was approximately $0.29 million. In the current quarter, and in connection with the February 11, 2019 term loan amendment, a loss on extinguishment of debt was recognized of $0.2 million consisting of unamortized deferred finance costs and interest on term debt of approximately $0.3 million. Interest and finance expense for the prior year quarter was due to term debt of $0.25 million and $0.04 million of other finance charges.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37% and 46%, respectively, resulting in an income tax provision of $0.08 million and $0.43 million, respectively.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current quarter, the federal statutory rate differs from the effective tax rate primarily due to state taxes and recurring permanent differences, which increased the effective tax rate by approximately 10.00% and 7.00%, respectively.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prior year quarter, the effective tax rate was primarily attributable to the tax impact from the vesting of restricted shares of common stock, which was treated as a discrete item for tax purposes. This item increased the effective rate by 6% for prior year quarter. The effective tax rate was also attributable to recurring permanent differences. Based on the amount of income before income taxes compared to the recurring permanent differences, the effective rate increased by 11% for the prior year quarter.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had net income of $0.13 million for the current quarter, compared to net income of $0.50 million for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non-GAAP net income of approximately $1.5 million, or $0.08 per diluted share (“non-GAAP diluted EPS”), for the current quarter and $1.7 million, or $0.09 per diluted share, for the prior year quarter. Non-GAAP net income is a non-GAAP unaudited term, which we define as net income, exclusive of amortization of trademarks, stock-based compensation, non-cash interest and finance expense from discounted debt related to acquired assets, loss on extinguishment of debt, and deferred tax provision. Non-GAAP net income and non-GAAP diluted EPS measures do not include the tax effect of the aforementioned adjusting items, due to the nature of these items and the Company’s tax strategy. Prior to 2019, the Company did not adjust non-GAAP net income and non-GAAP EPS for amortization of trademarks.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Adjusted EBITDA of $2.0 million for the current quarter, compared with Adjusted EBITDA of $2.2 million for the prior year quarter. Adjusted EBITDA is a non-GAAP unaudited measure, which we define as net income before stock-based compensation, interest and finance expense, loss on extinguishment of debt, income taxes, other state and local franchise taxes, and depreciation and amortization.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 in thousands)</w:t>
            </w:r>
          </w:p>
        </w:tc>
        <w:tc>
          <w:tcPr>
            <w:tcW w:w="4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Amortization of trademarks</w:t>
            </w: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interest and finance expense</w:t>
            </w:r>
          </w:p>
        </w:tc>
        <w:tc>
          <w:tcPr>
            <w:tcW w:w="4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4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Deferred income tax provision</w:t>
            </w: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w:t>
            </w:r>
          </w:p>
        </w:tc>
        <w:tc>
          <w:tcPr>
            <w:tcW w:w="4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diluted earnings per share (our most directly comparable financial measure presented in accordance with GAAP) to non-GAAP diluted EPS:</w:t>
      </w:r>
    </w:p>
    <w:p>
      <w:pPr>
        <w:spacing w:after="0" w:line="112"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Amortization of trademarks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interest and finance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Deferred income tax provision</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280" w:type="dxa"/>
            <w:vAlign w:val="bottom"/>
          </w:tcPr>
          <w:p>
            <w:pPr>
              <w:ind w:left="40"/>
              <w:spacing w:after="0"/>
              <w:rPr>
                <w:sz w:val="20"/>
                <w:szCs w:val="20"/>
                <w:color w:val="auto"/>
              </w:rPr>
            </w:pPr>
            <w:r>
              <w:rPr>
                <w:rFonts w:ascii="Arial" w:cs="Arial" w:eastAsia="Arial" w:hAnsi="Arial"/>
                <w:sz w:val="18"/>
                <w:szCs w:val="18"/>
                <w:color w:val="auto"/>
              </w:rPr>
              <w:t>Non-GAAP weighted average diluted shares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18,562,763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18,716,802</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 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finance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and local franchise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March 31, 2019 and December 31, 2018, our cash and cash equivalents were $6.8 million and $8.8 million,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cash at March 31, 2019 consists of $1.11 million of cash deposited with Bank Hapoalim B.M. (“BHI”) as collateral for an irrevocable standby letter of credit associated with the lease of our current corporate office and operating facilities. Restricted cash at December 31, 2018 consisted of (i) $1.11 million of cash deposited with Bank Hapoalim B.M. (“BHI”) as collateral for an irrevocable standby letter of credit associated with the lease of our current corporate office and operating facilities at 1333 Broadway, New York City, and (ii) $0.40 million of cash held as a security deposit for the sublease of our former corporate offices at 475 Tenth Avenue, New York City by us to a third-party subtenant.</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expect that existing cash and operating cash flows will be adequate to meet our operating needs, debt service obligations (including debt service for our term debt), and capital expenditure needs, for at least the twelve months subsequent to the filing date of this Quarterly Report on Form 10-Q.</w:t>
      </w:r>
    </w:p>
    <w:p>
      <w:pPr>
        <w:spacing w:after="0" w:line="10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contingent obligations related to the C Wonder Brand and the Halston Heritage Brand (see Note 6, Debt in the Unaudited Condensed Consolidated Financial Statements) would be payable in stock or cash, at the Company’s discretion. Payment of this obligation in stock would not affect our liquidity.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working capital (current assets less current liabilities, excluding contingent obligations payable in common stock) was $8.6 million and $10.7 million as of March 31, 2019 and December 31, 2018, respectively. Commentary on the components of our cash flows for the current quarter as compared with the prior year quarter is set forth below. Working capital decreased by approximately $2.0 million in the first quarter primarily attributable to $1.6 million of cash used in the acquisition of the Halston and Halston Heritage trademarks and a reclassification of current portion of accrued rent to the current portion of operating lease liability of $0.5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was approximately $1.23 million in the current three months, compared with net cash provided by operating activities of approximately $1.57 million in the prior year three months.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current three months cash provided by operating activities was primarily attributable to the combination of net income of $0.13 million plus non-cash expenses of approximately $1.61 million and net change in operating assets and liabilities of approximately $(0.5) million. Non-cash net expenses primarily consisted of $0.1 million of deferred income tax provision, $0.3 million of stock-based compensation, $0.9 million of depreciation and amortization, and loss on extinguishment of debt of $0.19 million. The net change from operating assets and liabilities includes a decrease in accounts receivable of $1.0 million, a decrease in inventory of approximately $0.6 million, an increase in prepaid expenses and other assets of ($0.5) million, a decrease in accounts payable, accrued expenses and other current liabilities of $(1.3) million, and a decrease in other liabilities of $(0.20) million, all primarily due to timing of collections and payments, and cash paid in excess of rent expense of $(0.1) million.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prior year three months cash provided by operating activities was primarily attributable to the combination of net income of $0.50 million plus non-cash expenses of approximately $1.40 million and net change in operating assets and liabilities of approximately $(0.33) million. Non-cash net expenses mainly consisted of $0.51 million of stock-based compensation, $0.43 million of deferred income tax provision, $0.41 million of depreciation and amortization, and non-cash interest and other finance costs of $0.05 million. The net change in operating assets and liabilities includes a net increase in accounts receivable of $0.80 million, an increase in prepaid expenses and other assets of $0.06 million, an increase in accounts payable, accrued expenses and other current liabilities of $0.56 million, all primarily due to timing of collections and payments, and a decrease in other liabilities of $0.03 million attributable to accrued rent.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for the current three months was approximately $(9.1) million, compared with approximately $(1.0) million in the prior year quarter. Cash used in investing activities for the current quarter was related to cash consideration paid in connection with the acquisition of Halston Heritage Brands. Cash used in investing activities for in the prior year quarter was primarily attributable to capital expenditures.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(used in) financing activities for the current three months was approximately $5.5 million, and attributable to proceeds of long-term debt received of $7.5 million, payments made on long-term debt of $(1.0) million, payment of $(0.75) million for final payment of the IM Seller Note obligation, and payment of $(0.29) million of deferred finance costs.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prior year three months was approximately $1.82 million, primarily attributable to payments on our senior term debt obligation of $1.0 million, payment on our IM Seller Note obligation of approximately $0.73 million, and shares repurchased related to vested restricted stock in exchange for withholding taxes of $0.09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seek to expand and diversify the types of products being produced under our brands. We plan to continue to diversify the distribution channels within which products are sold, in an effort to reduce dependence on any particular retailer, consumer, or market sector within each of our brands. The Mizrahi brand,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expand our Judith Ripka Fine Jewelry wholesale and e-commerce business and in November 2018, we transitioned our department store business to a wholesale model from a licensing model. Our strategy is to manage our working capital needs by utilizing back-to-back sales and purchase orders and minimizing inventory risk. This change should increase our total and net revenues as compared to the licensing model.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“virtual vertical” production platform, additional domestic and international licensing arrangements, and acquiring additional brands.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however, will still remain largely dependent on our ability to build and maintain our brands’ awareness and contracts with and retain key licensees and retail relationships, as well as both our, and our licensees’ ability to accurately predict upcoming fashion and design trends within our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2018, filed with the SEC on April 1, 2019, for a discussion of our critical accounting policies. During the three months ended March 31, 2019, there were no material changes to these policies.</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2019, the end of the period covered by this report. Based on, and as of the date of such evaluation, the Chief Executive Officer and the Chief Financial Officer have concluded that our disclosure controls and procedures were effective as of March 31, 2019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March 31, 2019 that have materially affected, or are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Risk Factors set forth in Part I, Item 1A, “Risk Factors” of our Annual Report on Form 10-K for the year ended December 31, 2018,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10-K for the year ended December 31, 2018 are not the only risks we face. Additional risks and uncertainties not currently known to us or that we currently deem to be immaterial also may materially adversely affect our financial condition and/or operating results.</w:t>
      </w:r>
    </w:p>
    <w:p>
      <w:pPr>
        <w:spacing w:after="0" w:line="1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or registered securities during the three months ended March 31, 2019.</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171" w:lineRule="exact"/>
        <w:rPr>
          <w:sz w:val="20"/>
          <w:szCs w:val="20"/>
          <w:color w:val="auto"/>
        </w:rPr>
      </w:pPr>
    </w:p>
    <w:p>
      <w:pPr>
        <w:ind w:left="6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31.1 Rule 13a-14(a)/15d-14(a) Certification (CEO)</w:t>
        </w:r>
      </w:hyperlink>
    </w:p>
    <w:p>
      <w:pPr>
        <w:spacing w:after="0" w:line="63" w:lineRule="exact"/>
        <w:rPr>
          <w:sz w:val="20"/>
          <w:szCs w:val="20"/>
          <w:color w:val="auto"/>
        </w:rPr>
      </w:pPr>
    </w:p>
    <w:p>
      <w:pPr>
        <w:ind w:left="6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31.2 Rule 13a-14(a)/15d-14(a) Certification (CFO)</w:t>
        </w:r>
      </w:hyperlink>
    </w:p>
    <w:p>
      <w:pPr>
        <w:spacing w:after="0" w:line="63" w:lineRule="exact"/>
        <w:rPr>
          <w:sz w:val="20"/>
          <w:szCs w:val="20"/>
          <w:color w:val="auto"/>
        </w:rPr>
      </w:pPr>
    </w:p>
    <w:p>
      <w:pPr>
        <w:ind w:left="6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32.1 Section 1350 Certification (CEO)</w:t>
        </w:r>
      </w:hyperlink>
    </w:p>
    <w:p>
      <w:pPr>
        <w:spacing w:after="0" w:line="63" w:lineRule="exact"/>
        <w:rPr>
          <w:sz w:val="20"/>
          <w:szCs w:val="20"/>
          <w:color w:val="auto"/>
        </w:rPr>
      </w:pPr>
    </w:p>
    <w:p>
      <w:pPr>
        <w:ind w:left="6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32.2 Section 1350 Certification (CFO)</w:t>
        </w:r>
      </w:hyperlink>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101.INS XBRL Instance Document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101.SCH XBRL Taxonomy Extension Schema Document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101.CAL XBRL Taxonomy Extension Calculation Linkbase Document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101.DEF XBRL Taxonomy Extension Definitions Linkbase Document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101.LAB XBRL Taxonomy Extension Label Linkbase Document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101.PRE XBRL Taxonomy Extension Presentation Linkbase Document</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125"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15, 2019</w:t>
            </w:r>
          </w:p>
        </w:tc>
        <w:tc>
          <w:tcPr>
            <w:tcW w:w="2980" w:type="dxa"/>
            <w:vAlign w:val="bottom"/>
          </w:tcPr>
          <w:p>
            <w:pPr>
              <w:ind w:left="24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Robert W. D’Loren</w:t>
            </w:r>
          </w:p>
        </w:tc>
      </w:tr>
      <w:tr>
        <w:trPr>
          <w:trHeight w:val="27"/>
        </w:trPr>
        <w:tc>
          <w:tcPr>
            <w:tcW w:w="3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Name: Robert W. D’Loren</w:t>
            </w:r>
          </w:p>
        </w:tc>
      </w:tr>
      <w:tr>
        <w:trPr>
          <w:trHeight w:val="270"/>
        </w:trPr>
        <w:tc>
          <w:tcPr>
            <w:tcW w:w="35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540"/>
        </w:trPr>
        <w:tc>
          <w:tcPr>
            <w:tcW w:w="3500" w:type="dxa"/>
            <w:vAlign w:val="bottom"/>
          </w:tcPr>
          <w:p>
            <w:pPr>
              <w:spacing w:after="0"/>
              <w:rPr>
                <w:sz w:val="24"/>
                <w:szCs w:val="24"/>
                <w:color w:val="auto"/>
              </w:rPr>
            </w:pPr>
          </w:p>
        </w:tc>
        <w:tc>
          <w:tcPr>
            <w:tcW w:w="2980" w:type="dxa"/>
            <w:vAlign w:val="bottom"/>
          </w:tcPr>
          <w:p>
            <w:pPr>
              <w:ind w:left="24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James Haran</w:t>
            </w:r>
          </w:p>
        </w:tc>
      </w:tr>
      <w:tr>
        <w:trPr>
          <w:trHeight w:val="27"/>
        </w:trPr>
        <w:tc>
          <w:tcPr>
            <w:tcW w:w="3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Name: James Haran</w:t>
            </w:r>
          </w:p>
        </w:tc>
      </w:tr>
      <w:tr>
        <w:trPr>
          <w:trHeight w:val="270"/>
        </w:trPr>
        <w:tc>
          <w:tcPr>
            <w:tcW w:w="35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r>
        <w:trPr>
          <w:trHeight w:val="702"/>
        </w:trPr>
        <w:tc>
          <w:tcPr>
            <w:tcW w:w="3500" w:type="dxa"/>
            <w:vAlign w:val="bottom"/>
          </w:tcPr>
          <w:p>
            <w:pPr>
              <w:spacing w:after="0"/>
              <w:rPr>
                <w:sz w:val="24"/>
                <w:szCs w:val="24"/>
                <w:color w:val="auto"/>
              </w:rPr>
            </w:pPr>
          </w:p>
        </w:tc>
        <w:tc>
          <w:tcPr>
            <w:tcW w:w="2980" w:type="dxa"/>
            <w:vAlign w:val="bottom"/>
          </w:tcPr>
          <w:p>
            <w:pPr>
              <w:jc w:val="right"/>
              <w:ind w:right="630"/>
              <w:spacing w:after="0"/>
              <w:rPr>
                <w:sz w:val="20"/>
                <w:szCs w:val="20"/>
                <w:color w:val="auto"/>
              </w:rPr>
            </w:pPr>
            <w:r>
              <w:rPr>
                <w:rFonts w:ascii="Arial" w:cs="Arial" w:eastAsia="Arial" w:hAnsi="Arial"/>
                <w:sz w:val="18"/>
                <w:szCs w:val="18"/>
                <w:color w:val="auto"/>
              </w:rPr>
              <w:t>32</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2019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640" w:val="left"/>
          <w:tab w:leader="none" w:pos="7440" w:val="left"/>
        </w:tabs>
        <w:rPr>
          <w:sz w:val="20"/>
          <w:szCs w:val="20"/>
          <w:color w:val="auto"/>
        </w:rPr>
      </w:pPr>
      <w:r>
        <w:rPr>
          <w:rFonts w:ascii="Arial" w:cs="Arial" w:eastAsia="Arial" w:hAnsi="Arial"/>
          <w:sz w:val="18"/>
          <w:szCs w:val="18"/>
          <w:color w:val="auto"/>
        </w:rPr>
        <w:t>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Name: Robert W. D’Loren</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Chairman and Chief Executive Officer</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2019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May 15, 2019</w:t>
            </w:r>
          </w:p>
        </w:tc>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243"/>
        </w:trPr>
        <w:tc>
          <w:tcPr>
            <w:tcW w:w="6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Name: James Haran</w:t>
            </w:r>
          </w:p>
        </w:tc>
      </w:tr>
      <w:tr>
        <w:trPr>
          <w:trHeight w:val="270"/>
        </w:trPr>
        <w:tc>
          <w:tcPr>
            <w:tcW w:w="6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2019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May 15, 2019</w:t>
            </w:r>
          </w:p>
        </w:tc>
        <w:tc>
          <w:tcPr>
            <w:tcW w:w="640" w:type="dxa"/>
            <w:vAlign w:val="bottom"/>
          </w:tcPr>
          <w:p>
            <w:pPr>
              <w:ind w:left="2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243"/>
        </w:trPr>
        <w:tc>
          <w:tcPr>
            <w:tcW w:w="6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Name: Robert W. D’Loren</w:t>
            </w:r>
          </w:p>
        </w:tc>
      </w:tr>
      <w:tr>
        <w:trPr>
          <w:trHeight w:val="270"/>
        </w:trPr>
        <w:tc>
          <w:tcPr>
            <w:tcW w:w="6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bl>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2019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May 15, 2019</w:t>
            </w:r>
          </w:p>
        </w:tc>
        <w:tc>
          <w:tcPr>
            <w:tcW w:w="740" w:type="dxa"/>
            <w:vAlign w:val="bottom"/>
          </w:tcPr>
          <w:p>
            <w:pPr>
              <w:ind w:left="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243"/>
        </w:trPr>
        <w:tc>
          <w:tcPr>
            <w:tcW w:w="5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Name: James Haran</w:t>
            </w:r>
          </w:p>
        </w:tc>
      </w:tr>
      <w:tr>
        <w:trPr>
          <w:trHeight w:val="270"/>
        </w:trPr>
        <w:tc>
          <w:tcPr>
            <w:tcW w:w="5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Letter"/>
      <w:start w:val="2"/>
    </w:lvl>
  </w:abstractNum>
  <w:abstractNum w:abstractNumId="4">
    <w:nsid w:val="7FDCC233"/>
    <w:multiLevelType w:val="hybridMultilevel"/>
    <w:lvl w:ilvl="0">
      <w:lvlJc w:val="left"/>
      <w:lvlText w:val="%1."/>
      <w:numFmt w:val="decimal"/>
      <w:start w:val="4"/>
    </w:lvl>
  </w:abstractNum>
  <w:abstractNum w:abstractNumId="5">
    <w:nsid w:val="1BEFD79F"/>
    <w:multiLevelType w:val="hybridMultilevel"/>
    <w:lvl w:ilvl="0">
      <w:lvlJc w:val="left"/>
      <w:lvlText w:val="(%1)"/>
      <w:numFmt w:val="lowerRoman"/>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2019-12-28T11:52:18Z</dcterms:created>
  <dcterms:modified xsi:type="dcterms:W3CDTF">2019-12-28T11:52:18Z</dcterms:modified>
</cp:coreProperties>
</file>