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880" w:right="1800" w:hanging="3750"/>
        <w:spacing w:after="0" w:line="503" w:lineRule="auto"/>
        <w:tabs>
          <w:tab w:leader="none" w:pos="4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ind w:left="4240" w:right="1800" w:hanging="4110"/>
        <w:spacing w:after="0" w:line="503" w:lineRule="auto"/>
        <w:tabs>
          <w:tab w:leader="none" w:pos="47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340"/>
        <w:spacing w:after="0"/>
        <w:rPr>
          <w:rFonts w:ascii="MS PGothic" w:cs="MS PGothic" w:eastAsia="MS PGothic" w:hAnsi="MS PGothic"/>
          <w:sz w:val="18"/>
          <w:szCs w:val="18"/>
          <w:color w:val="auto"/>
          <w:highlight w:val="black"/>
        </w:rPr>
      </w:pPr>
      <w:r>
        <w:rPr>
          <w:rFonts w:ascii="Arial" w:cs="Arial" w:eastAsia="Arial" w:hAnsi="Arial"/>
          <w:sz w:val="18"/>
          <w:szCs w:val="18"/>
          <w:i w:val="1"/>
          <w:iCs w:val="1"/>
          <w:color w:val="auto"/>
        </w:rPr>
        <w:t>Commission File Number: 001-37527</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40" w:type="dxa"/>
            <w:vAlign w:val="bottom"/>
            <w:gridSpan w:val="4"/>
          </w:tcPr>
          <w:p>
            <w:pPr>
              <w:jc w:val="center"/>
              <w:ind w:right="3780"/>
              <w:spacing w:after="0"/>
              <w:rPr>
                <w:sz w:val="20"/>
                <w:szCs w:val="20"/>
                <w:color w:val="auto"/>
              </w:rPr>
            </w:pPr>
            <w:r>
              <w:rPr>
                <w:rFonts w:ascii="Arial" w:cs="Arial" w:eastAsia="Arial" w:hAnsi="Arial"/>
                <w:sz w:val="25"/>
                <w:szCs w:val="25"/>
                <w:b w:val="1"/>
                <w:bCs w:val="1"/>
                <w:color w:val="auto"/>
              </w:rPr>
              <w:t>XCEL BRANDS, INC.</w:t>
            </w:r>
          </w:p>
        </w:tc>
      </w:tr>
      <w:tr>
        <w:trPr>
          <w:trHeight w:val="230"/>
        </w:trPr>
        <w:tc>
          <w:tcPr>
            <w:tcW w:w="2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40" w:type="dxa"/>
            <w:vAlign w:val="bottom"/>
            <w:gridSpan w:val="4"/>
          </w:tcPr>
          <w:p>
            <w:pPr>
              <w:jc w:val="center"/>
              <w:ind w:right="376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3780" w:type="dxa"/>
            <w:vAlign w:val="bottom"/>
            <w:gridSpan w:val="2"/>
          </w:tcPr>
          <w:p>
            <w:pPr>
              <w:jc w:val="center"/>
              <w:ind w:left="1290"/>
              <w:spacing w:after="0"/>
              <w:rPr>
                <w:sz w:val="20"/>
                <w:szCs w:val="20"/>
                <w:color w:val="auto"/>
              </w:rPr>
            </w:pPr>
            <w:r>
              <w:rPr>
                <w:rFonts w:ascii="Arial" w:cs="Arial" w:eastAsia="Arial" w:hAnsi="Arial"/>
                <w:sz w:val="18"/>
                <w:szCs w:val="18"/>
                <w:color w:val="auto"/>
                <w:w w:val="89"/>
              </w:rPr>
              <w:t>Delaware</w:t>
            </w:r>
          </w:p>
        </w:tc>
        <w:tc>
          <w:tcPr>
            <w:tcW w:w="7640" w:type="dxa"/>
            <w:vAlign w:val="bottom"/>
            <w:gridSpan w:val="4"/>
          </w:tcPr>
          <w:p>
            <w:pPr>
              <w:jc w:val="center"/>
              <w:ind w:left="2405"/>
              <w:spacing w:after="0"/>
              <w:rPr>
                <w:sz w:val="20"/>
                <w:szCs w:val="20"/>
                <w:color w:val="auto"/>
              </w:rPr>
            </w:pPr>
            <w:r>
              <w:rPr>
                <w:rFonts w:ascii="Arial" w:cs="Arial" w:eastAsia="Arial" w:hAnsi="Arial"/>
                <w:sz w:val="18"/>
                <w:szCs w:val="18"/>
                <w:color w:val="auto"/>
                <w:w w:val="89"/>
              </w:rPr>
              <w:t>76-0307819</w:t>
            </w:r>
          </w:p>
        </w:tc>
      </w:tr>
      <w:tr>
        <w:trPr>
          <w:trHeight w:val="195"/>
        </w:trPr>
        <w:tc>
          <w:tcPr>
            <w:tcW w:w="3780" w:type="dxa"/>
            <w:vAlign w:val="bottom"/>
            <w:tcBorders>
              <w:top w:val="single" w:sz="8" w:color="auto"/>
            </w:tcBorders>
            <w:gridSpan w:val="2"/>
          </w:tcPr>
          <w:p>
            <w:pPr>
              <w:jc w:val="center"/>
              <w:ind w:left="1290"/>
              <w:spacing w:after="0" w:line="195" w:lineRule="exact"/>
              <w:rPr>
                <w:sz w:val="20"/>
                <w:szCs w:val="20"/>
                <w:color w:val="auto"/>
              </w:rPr>
            </w:pPr>
            <w:r>
              <w:rPr>
                <w:rFonts w:ascii="Arial" w:cs="Arial" w:eastAsia="Arial" w:hAnsi="Arial"/>
                <w:sz w:val="18"/>
                <w:szCs w:val="18"/>
                <w:color w:val="auto"/>
                <w:w w:val="92"/>
              </w:rPr>
              <w:t>(State or Other Jurisdiction of</w:t>
            </w:r>
          </w:p>
        </w:tc>
        <w:tc>
          <w:tcPr>
            <w:tcW w:w="138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51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3780" w:type="dxa"/>
            <w:vAlign w:val="bottom"/>
            <w:gridSpan w:val="2"/>
          </w:tcPr>
          <w:p>
            <w:pPr>
              <w:jc w:val="center"/>
              <w:ind w:left="1290"/>
              <w:spacing w:after="0"/>
              <w:rPr>
                <w:sz w:val="20"/>
                <w:szCs w:val="20"/>
                <w:color w:val="auto"/>
              </w:rPr>
            </w:pPr>
            <w:r>
              <w:rPr>
                <w:rFonts w:ascii="Arial" w:cs="Arial" w:eastAsia="Arial" w:hAnsi="Arial"/>
                <w:sz w:val="18"/>
                <w:szCs w:val="18"/>
                <w:color w:val="auto"/>
                <w:w w:val="91"/>
              </w:rPr>
              <w:t>Incorporation or Organization)</w:t>
            </w:r>
          </w:p>
        </w:tc>
        <w:tc>
          <w:tcPr>
            <w:tcW w:w="1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14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640" w:type="dxa"/>
            <w:vAlign w:val="bottom"/>
            <w:gridSpan w:val="4"/>
          </w:tcPr>
          <w:p>
            <w:pPr>
              <w:jc w:val="center"/>
              <w:ind w:right="3760"/>
              <w:spacing w:after="0"/>
              <w:rPr>
                <w:sz w:val="20"/>
                <w:szCs w:val="20"/>
                <w:color w:val="auto"/>
              </w:rPr>
            </w:pPr>
            <w:r>
              <w:rPr>
                <w:rFonts w:ascii="Arial" w:cs="Arial" w:eastAsia="Arial" w:hAnsi="Arial"/>
                <w:sz w:val="18"/>
                <w:szCs w:val="18"/>
                <w:color w:val="auto"/>
                <w:w w:val="92"/>
              </w:rPr>
              <w:t>1333 Broadway, 10th Floor, New York, NY 10018</w:t>
            </w:r>
          </w:p>
        </w:tc>
      </w:tr>
      <w:tr>
        <w:trPr>
          <w:trHeight w:val="224"/>
        </w:trPr>
        <w:tc>
          <w:tcPr>
            <w:tcW w:w="23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5360" w:type="dxa"/>
            <w:vAlign w:val="bottom"/>
            <w:tcBorders>
              <w:top w:val="single" w:sz="8" w:color="auto"/>
            </w:tcBorders>
            <w:gridSpan w:val="3"/>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2280" w:type="dxa"/>
            <w:vAlign w:val="bottom"/>
          </w:tcPr>
          <w:p>
            <w:pPr>
              <w:spacing w:after="0"/>
              <w:rPr>
                <w:sz w:val="19"/>
                <w:szCs w:val="19"/>
                <w:color w:val="auto"/>
              </w:rPr>
            </w:pPr>
          </w:p>
        </w:tc>
      </w:tr>
      <w:tr>
        <w:trPr>
          <w:trHeight w:val="404"/>
        </w:trPr>
        <w:tc>
          <w:tcPr>
            <w:tcW w:w="2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00" w:type="dxa"/>
            <w:vAlign w:val="bottom"/>
            <w:gridSpan w:val="2"/>
          </w:tcPr>
          <w:p>
            <w:pPr>
              <w:jc w:val="center"/>
              <w:ind w:left="1285"/>
              <w:spacing w:after="0"/>
              <w:rPr>
                <w:sz w:val="20"/>
                <w:szCs w:val="20"/>
                <w:color w:val="auto"/>
              </w:rPr>
            </w:pPr>
            <w:r>
              <w:rPr>
                <w:rFonts w:ascii="Arial" w:cs="Arial" w:eastAsia="Arial" w:hAnsi="Arial"/>
                <w:sz w:val="18"/>
                <w:szCs w:val="18"/>
                <w:color w:val="auto"/>
                <w:w w:val="90"/>
              </w:rPr>
              <w:t>(347) 727-2474</w:t>
            </w:r>
          </w:p>
        </w:tc>
        <w:tc>
          <w:tcPr>
            <w:tcW w:w="28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2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40" w:type="dxa"/>
            <w:vAlign w:val="bottom"/>
            <w:gridSpan w:val="4"/>
          </w:tcPr>
          <w:p>
            <w:pPr>
              <w:jc w:val="center"/>
              <w:ind w:right="3780"/>
              <w:spacing w:after="0"/>
              <w:rPr>
                <w:sz w:val="20"/>
                <w:szCs w:val="20"/>
                <w:color w:val="auto"/>
              </w:rPr>
            </w:pPr>
            <w:r>
              <w:rPr>
                <w:rFonts w:ascii="Arial" w:cs="Arial" w:eastAsia="Arial" w:hAnsi="Arial"/>
                <w:sz w:val="18"/>
                <w:szCs w:val="18"/>
                <w:color w:val="auto"/>
                <w:w w:val="90"/>
              </w:rPr>
              <w:t>(Issuer's Telephone Number, Including Area Code)</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980" w:type="dxa"/>
            <w:vAlign w:val="bottom"/>
          </w:tcPr>
          <w:p>
            <w:pPr>
              <w:ind w:left="194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378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980" w:type="dxa"/>
            <w:vAlign w:val="bottom"/>
          </w:tcPr>
          <w:p>
            <w:pPr>
              <w:ind w:left="1940"/>
              <w:spacing w:after="0"/>
              <w:rPr>
                <w:sz w:val="20"/>
                <w:szCs w:val="20"/>
                <w:color w:val="auto"/>
              </w:rPr>
            </w:pPr>
            <w:r>
              <w:rPr>
                <w:rFonts w:ascii="Arial" w:cs="Arial" w:eastAsia="Arial" w:hAnsi="Arial"/>
                <w:sz w:val="18"/>
                <w:szCs w:val="18"/>
                <w:color w:val="auto"/>
                <w:w w:val="93"/>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3980" w:type="dxa"/>
            <w:vAlign w:val="bottom"/>
          </w:tcPr>
          <w:p>
            <w:pPr>
              <w:ind w:left="1940"/>
              <w:spacing w:after="0"/>
              <w:rPr>
                <w:sz w:val="20"/>
                <w:szCs w:val="20"/>
                <w:color w:val="auto"/>
              </w:rPr>
            </w:pPr>
            <w:r>
              <w:rPr>
                <w:rFonts w:ascii="Arial" w:cs="Arial" w:eastAsia="Arial" w:hAnsi="Arial"/>
                <w:sz w:val="18"/>
                <w:szCs w:val="18"/>
                <w:color w:val="auto"/>
                <w:w w:val="94"/>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780" w:val="left"/>
        </w:tabs>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w:t>
      </w:r>
      <w:r>
        <w:rPr>
          <w:rFonts w:ascii="MS PGothic" w:cs="MS PGothic" w:eastAsia="MS PGothic" w:hAnsi="MS PGothic"/>
          <w:sz w:val="18"/>
          <w:szCs w:val="18"/>
          <w:color w:val="auto"/>
        </w:rPr>
        <w:t xml:space="preserve">  ☒</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10, 2018, there were 18,284,536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20" w:type="dxa"/>
            <w:vAlign w:val="bottom"/>
            <w:gridSpan w:val="6"/>
          </w:tcPr>
          <w:p>
            <w:pPr>
              <w:jc w:val="center"/>
              <w:ind w:right="3760"/>
              <w:spacing w:after="0"/>
              <w:rPr>
                <w:sz w:val="20"/>
                <w:szCs w:val="20"/>
                <w:color w:val="auto"/>
              </w:rPr>
            </w:pPr>
            <w:r>
              <w:rPr>
                <w:rFonts w:ascii="Arial" w:cs="Arial" w:eastAsia="Arial" w:hAnsi="Arial"/>
                <w:sz w:val="18"/>
                <w:szCs w:val="18"/>
                <w:b w:val="1"/>
                <w:bCs w:val="1"/>
                <w:color w:val="auto"/>
                <w:w w:val="98"/>
              </w:rPr>
              <w:t>XCEL BRANDS, INC.</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0" w:type="dxa"/>
            <w:vAlign w:val="bottom"/>
            <w:gridSpan w:val="5"/>
          </w:tcPr>
          <w:p>
            <w:pPr>
              <w:jc w:val="center"/>
              <w:ind w:right="4360"/>
              <w:spacing w:after="0"/>
              <w:rPr>
                <w:sz w:val="20"/>
                <w:szCs w:val="20"/>
                <w:color w:val="auto"/>
              </w:rPr>
            </w:pPr>
            <w:r>
              <w:rPr>
                <w:rFonts w:ascii="Arial" w:cs="Arial" w:eastAsia="Arial" w:hAnsi="Arial"/>
                <w:sz w:val="18"/>
                <w:szCs w:val="18"/>
                <w:color w:val="auto"/>
              </w:rPr>
              <w:t>INDEX</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2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0"/>
            <w:shd w:val="clear" w:color="auto" w:fill="CCEEFF"/>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PART I - FINANCIAL INFORMATION</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3">
              <w:r>
                <w:rPr>
                  <w:rFonts w:ascii="Arial" w:cs="Arial" w:eastAsia="Arial" w:hAnsi="Arial"/>
                  <w:sz w:val="18"/>
                  <w:szCs w:val="18"/>
                  <w:color w:val="0000FF"/>
                </w:rPr>
                <w:t>Unaudited Condensed Consolidated Balance Sheets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4">
              <w:r>
                <w:rPr>
                  <w:rFonts w:ascii="Arial" w:cs="Arial" w:eastAsia="Arial" w:hAnsi="Arial"/>
                  <w:sz w:val="18"/>
                  <w:szCs w:val="18"/>
                  <w:color w:val="0000FF"/>
                </w:rPr>
                <w:t>Unaudited Condensed Consolidated Statements of Operations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99"/>
              </w:rPr>
            </w:pPr>
            <w:hyperlink w:anchor="page4">
              <w:r>
                <w:rPr>
                  <w:rFonts w:ascii="Arial" w:cs="Arial" w:eastAsia="Arial" w:hAnsi="Arial"/>
                  <w:sz w:val="18"/>
                  <w:szCs w:val="18"/>
                  <w:color w:val="0000FF"/>
                  <w:w w:val="99"/>
                </w:rPr>
                <w:t>4</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5">
              <w:r>
                <w:rPr>
                  <w:rFonts w:ascii="Arial" w:cs="Arial" w:eastAsia="Arial" w:hAnsi="Arial"/>
                  <w:sz w:val="18"/>
                  <w:szCs w:val="18"/>
                  <w:color w:val="0000FF"/>
                </w:rPr>
                <w:t>Unaudited Condensed Consolidated Statements of Cash Flows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5</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6">
              <w:r>
                <w:rPr>
                  <w:rFonts w:ascii="Arial" w:cs="Arial" w:eastAsia="Arial" w:hAnsi="Arial"/>
                  <w:sz w:val="18"/>
                  <w:szCs w:val="18"/>
                  <w:color w:val="0000FF"/>
                </w:rPr>
                <w:t>Notes to Unaudited Condensed Consolidated Financial Statements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6</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19">
              <w:r>
                <w:rPr>
                  <w:rFonts w:ascii="Arial" w:cs="Arial" w:eastAsia="Arial" w:hAnsi="Arial"/>
                  <w:sz w:val="18"/>
                  <w:szCs w:val="18"/>
                  <w:color w:val="0000FF"/>
                </w:rPr>
                <w:t>Item 2.</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19">
              <w:r>
                <w:rPr>
                  <w:rFonts w:ascii="Arial" w:cs="Arial" w:eastAsia="Arial" w:hAnsi="Arial"/>
                  <w:sz w:val="18"/>
                  <w:szCs w:val="18"/>
                  <w:color w:val="0000FF"/>
                  <w:w w:val="89"/>
                </w:rPr>
                <w:t>19</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40" w:type="dxa"/>
            <w:vAlign w:val="bottom"/>
            <w:tcBorders>
              <w:top w:val="single" w:sz="8" w:color="0000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27">
              <w:r>
                <w:rPr>
                  <w:rFonts w:ascii="Arial" w:cs="Arial" w:eastAsia="Arial" w:hAnsi="Arial"/>
                  <w:sz w:val="18"/>
                  <w:szCs w:val="18"/>
                  <w:color w:val="0000FF"/>
                </w:rPr>
                <w:t>Item 3.</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27">
              <w:r>
                <w:rPr>
                  <w:rFonts w:ascii="Arial" w:cs="Arial" w:eastAsia="Arial" w:hAnsi="Arial"/>
                  <w:sz w:val="18"/>
                  <w:szCs w:val="18"/>
                  <w:color w:val="0000FF"/>
                </w:rPr>
                <w:t>Quantitative and Qualitative Disclosures About Market Risk</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FF"/>
                <w:w w:val="87"/>
              </w:rPr>
            </w:pPr>
            <w:hyperlink w:anchor="page27">
              <w:r>
                <w:rPr>
                  <w:rFonts w:ascii="Arial" w:cs="Arial" w:eastAsia="Arial" w:hAnsi="Arial"/>
                  <w:sz w:val="18"/>
                  <w:szCs w:val="18"/>
                  <w:color w:val="0000FF"/>
                  <w:w w:val="87"/>
                </w:rPr>
                <w:t>Item 4.</w:t>
              </w:r>
            </w:hyperlink>
          </w:p>
        </w:tc>
        <w:tc>
          <w:tcPr>
            <w:tcW w:w="520" w:type="dxa"/>
            <w:vAlign w:val="bottom"/>
            <w:gridSpan w:val="2"/>
            <w:shd w:val="clear" w:color="auto" w:fill="CCEEFF"/>
          </w:tcPr>
          <w:p>
            <w:pPr>
              <w:spacing w:after="0"/>
              <w:rPr>
                <w:sz w:val="17"/>
                <w:szCs w:val="17"/>
                <w:color w:val="auto"/>
              </w:rPr>
            </w:pPr>
          </w:p>
        </w:tc>
        <w:tc>
          <w:tcPr>
            <w:tcW w:w="1780" w:type="dxa"/>
            <w:vAlign w:val="bottom"/>
            <w:gridSpan w:val="8"/>
            <w:shd w:val="clear" w:color="auto" w:fill="CCEEFF"/>
          </w:tcPr>
          <w:p>
            <w:pPr>
              <w:spacing w:after="0" w:line="176" w:lineRule="exact"/>
              <w:rPr>
                <w:rFonts w:ascii="Arial" w:cs="Arial" w:eastAsia="Arial" w:hAnsi="Arial"/>
                <w:sz w:val="18"/>
                <w:szCs w:val="18"/>
                <w:color w:val="0000FF"/>
                <w:w w:val="88"/>
              </w:rPr>
            </w:pPr>
            <w:hyperlink w:anchor="page27">
              <w:r>
                <w:rPr>
                  <w:rFonts w:ascii="Arial" w:cs="Arial" w:eastAsia="Arial" w:hAnsi="Arial"/>
                  <w:sz w:val="18"/>
                  <w:szCs w:val="18"/>
                  <w:color w:val="0000FF"/>
                  <w:w w:val="88"/>
                </w:rPr>
                <w:t>Controls and Procedures</w:t>
              </w:r>
            </w:hyperlink>
          </w:p>
        </w:tc>
        <w:tc>
          <w:tcPr>
            <w:tcW w:w="7580" w:type="dxa"/>
            <w:vAlign w:val="bottom"/>
            <w:gridSpan w:val="9"/>
            <w:shd w:val="clear" w:color="auto" w:fill="CCEEFF"/>
          </w:tcPr>
          <w:p>
            <w:pPr>
              <w:spacing w:after="0"/>
              <w:rPr>
                <w:sz w:val="17"/>
                <w:szCs w:val="17"/>
                <w:color w:val="auto"/>
              </w:rPr>
            </w:pPr>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20"/>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PART II - OTHER INFORMATION</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1.</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1A.</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2.</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Unregistered Sales of Equity Securities and Use of Proceeds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62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3.</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Defaults Upon Senior Securities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4.</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Mine Safety Disclosures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Item 5.</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28">
              <w:r>
                <w:rPr>
                  <w:rFonts w:ascii="Arial" w:cs="Arial" w:eastAsia="Arial" w:hAnsi="Arial"/>
                  <w:sz w:val="18"/>
                  <w:szCs w:val="18"/>
                  <w:color w:val="0000FF"/>
                </w:rPr>
                <w:t>Other Information</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3"/>
            <w:shd w:val="clear" w:color="auto" w:fill="CCEEFF"/>
          </w:tcPr>
          <w:p>
            <w:pPr>
              <w:spacing w:after="0" w:line="176" w:lineRule="exact"/>
              <w:rPr>
                <w:rFonts w:ascii="Arial" w:cs="Arial" w:eastAsia="Arial" w:hAnsi="Arial"/>
                <w:sz w:val="18"/>
                <w:szCs w:val="18"/>
                <w:color w:val="0000FF"/>
              </w:rPr>
            </w:pPr>
            <w:hyperlink w:anchor="page29">
              <w:r>
                <w:rPr>
                  <w:rFonts w:ascii="Arial" w:cs="Arial" w:eastAsia="Arial" w:hAnsi="Arial"/>
                  <w:sz w:val="18"/>
                  <w:szCs w:val="18"/>
                  <w:color w:val="0000FF"/>
                </w:rPr>
                <w:t>Item 6.</w:t>
              </w:r>
            </w:hyperlink>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17"/>
            <w:shd w:val="clear" w:color="auto" w:fill="CCEEFF"/>
          </w:tcPr>
          <w:p>
            <w:pPr>
              <w:spacing w:after="0" w:line="176" w:lineRule="exact"/>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600" w:type="dxa"/>
            <w:vAlign w:val="bottom"/>
            <w:gridSpan w:val="4"/>
            <w:shd w:val="clear" w:color="auto" w:fill="CCEEFF"/>
          </w:tcPr>
          <w:p>
            <w:pPr>
              <w:jc w:val="center"/>
              <w:ind w:left="330"/>
              <w:spacing w:after="0" w:line="176"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FF"/>
              <w:bottom w:val="single" w:sz="8" w:color="auto"/>
            </w:tcBorders>
            <w:gridSpan w:val="2"/>
          </w:tcPr>
          <w:p>
            <w:pPr>
              <w:spacing w:after="0"/>
              <w:rPr>
                <w:sz w:val="24"/>
                <w:szCs w:val="24"/>
                <w:color w:val="auto"/>
              </w:rPr>
            </w:pPr>
          </w:p>
        </w:tc>
        <w:tc>
          <w:tcPr>
            <w:tcW w:w="4040" w:type="dxa"/>
            <w:vAlign w:val="bottom"/>
            <w:tcBorders>
              <w:top w:val="single" w:sz="8" w:color="CCEEFF"/>
              <w:bottom w:val="single" w:sz="8" w:color="auto"/>
            </w:tcBorders>
            <w:gridSpan w:val="13"/>
          </w:tcPr>
          <w:p>
            <w:pPr>
              <w:jc w:val="center"/>
              <w:ind w:left="3710"/>
              <w:spacing w:after="0"/>
              <w:rPr>
                <w:sz w:val="20"/>
                <w:szCs w:val="20"/>
                <w:color w:val="auto"/>
              </w:rPr>
            </w:pPr>
            <w:r>
              <w:rPr>
                <w:rFonts w:ascii="Arial" w:cs="Arial" w:eastAsia="Arial" w:hAnsi="Arial"/>
                <w:sz w:val="18"/>
                <w:szCs w:val="18"/>
                <w:color w:val="auto"/>
                <w:w w:val="79"/>
              </w:rPr>
              <w:t>2</w:t>
            </w:r>
          </w:p>
        </w:tc>
        <w:tc>
          <w:tcPr>
            <w:tcW w:w="1640" w:type="dxa"/>
            <w:vAlign w:val="bottom"/>
            <w:tcBorders>
              <w:top w:val="single" w:sz="8" w:color="CCEEFF"/>
              <w:bottom w:val="single" w:sz="8" w:color="auto"/>
            </w:tcBorders>
          </w:tcPr>
          <w:p>
            <w:pPr>
              <w:spacing w:after="0"/>
              <w:rPr>
                <w:sz w:val="24"/>
                <w:szCs w:val="24"/>
                <w:color w:val="auto"/>
              </w:rPr>
            </w:pPr>
          </w:p>
        </w:tc>
        <w:tc>
          <w:tcPr>
            <w:tcW w:w="29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FF"/>
              <w:bottom w:val="single" w:sz="8" w:color="auto"/>
            </w:tcBorders>
          </w:tcPr>
          <w:p>
            <w:pPr>
              <w:spacing w:after="0"/>
              <w:rPr>
                <w:sz w:val="24"/>
                <w:szCs w:val="24"/>
                <w:color w:val="auto"/>
              </w:rPr>
            </w:pPr>
          </w:p>
        </w:tc>
        <w:tc>
          <w:tcPr>
            <w:tcW w:w="100" w:type="dxa"/>
            <w:vAlign w:val="bottom"/>
            <w:tcBorders>
              <w:top w:val="single" w:sz="8" w:color="0000FF"/>
              <w:bottom w:val="single" w:sz="8" w:color="auto"/>
            </w:tcBorders>
          </w:tcPr>
          <w:p>
            <w:pPr>
              <w:spacing w:after="0"/>
              <w:rPr>
                <w:sz w:val="24"/>
                <w:szCs w:val="24"/>
                <w:color w:val="auto"/>
              </w:rPr>
            </w:pPr>
          </w:p>
        </w:tc>
        <w:tc>
          <w:tcPr>
            <w:tcW w:w="40" w:type="dxa"/>
            <w:vAlign w:val="bottom"/>
            <w:tcBorders>
              <w:top w:val="single" w:sz="8" w:color="0000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 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Trademarks and other intangibles, net</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115,713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135,216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135,018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payable, accrued expenses and other 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Accrued payroll</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5,459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Current portion of long-term debt, contingent obligations</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Long-term debt, less current portion</w:t>
            </w:r>
          </w:p>
        </w:tc>
        <w:tc>
          <w:tcPr>
            <w:tcW w:w="1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Arial" w:cs="Arial" w:eastAsia="Arial" w:hAnsi="Arial"/>
                <w:sz w:val="18"/>
                <w:szCs w:val="18"/>
                <w:color w:val="auto"/>
              </w:rPr>
              <w:t>12,266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Deferred tax liabilities, net</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Preferred stock, $.001 par value, 1,000,000 shares authorized, none issued and outstanding</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2"/>
          </w:tcPr>
          <w:p>
            <w:pPr>
              <w:ind w:left="240"/>
              <w:spacing w:after="0" w:line="201" w:lineRule="exact"/>
              <w:rPr>
                <w:sz w:val="20"/>
                <w:szCs w:val="20"/>
                <w:color w:val="auto"/>
              </w:rPr>
            </w:pPr>
            <w:r>
              <w:rPr>
                <w:rFonts w:ascii="Arial" w:cs="Arial" w:eastAsia="Arial" w:hAnsi="Arial"/>
                <w:sz w:val="18"/>
                <w:szCs w:val="18"/>
                <w:color w:val="auto"/>
                <w:w w:val="98"/>
              </w:rPr>
              <w:t>Common stock, $.001 par value, 50,000,000 shares authorized at September 30, 2018 and</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w w:val="96"/>
              </w:rPr>
              <w:t>December 31, 2017, respectively, and 18,266,202 and 18,318,961 issued and outstanding at</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September 30, 2018 and December 31, 2017, respectively</w:t>
            </w: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Paid-in capital</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tcPr>
          <w:p>
            <w:pPr>
              <w:ind w:left="24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135,216</w:t>
            </w: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135,018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Net licensing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7,890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24,445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goods sold (sales)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24,880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Salaries, benefits and employment taxes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Other design and marketing costs</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selling, general and administrative expenses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costs and expenses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21,880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and finance expense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 - term debt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240"/>
              <w:spacing w:after="0"/>
              <w:rPr>
                <w:sz w:val="20"/>
                <w:szCs w:val="20"/>
                <w:color w:val="auto"/>
              </w:rPr>
            </w:pPr>
            <w:r>
              <w:rPr>
                <w:rFonts w:ascii="Arial" w:cs="Arial" w:eastAsia="Arial" w:hAnsi="Arial"/>
                <w:sz w:val="18"/>
                <w:szCs w:val="18"/>
                <w:color w:val="auto"/>
              </w:rPr>
              <w:t>Other interest and finance charges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interest and finance expense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982</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18,266,202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18,470,977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18,304,608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18,530,963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18,267,043</w:t>
            </w: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18,872,753</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18,310,654</w:t>
            </w:r>
          </w:p>
        </w:tc>
        <w:tc>
          <w:tcPr>
            <w:tcW w:w="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18,896,418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4360" w:type="dxa"/>
            <w:vAlign w:val="bottom"/>
            <w:gridSpan w:val="8"/>
          </w:tcPr>
          <w:p>
            <w:pPr>
              <w:ind w:left="980"/>
              <w:spacing w:after="0"/>
              <w:rPr>
                <w:sz w:val="20"/>
                <w:szCs w:val="20"/>
                <w:color w:val="auto"/>
              </w:rPr>
            </w:pPr>
            <w:r>
              <w:rPr>
                <w:rFonts w:ascii="Arial" w:cs="Arial" w:eastAsia="Arial" w:hAnsi="Arial"/>
                <w:sz w:val="18"/>
                <w:szCs w:val="18"/>
                <w:b w:val="1"/>
                <w:bCs w:val="1"/>
                <w:color w:val="auto"/>
                <w:w w:val="92"/>
              </w:rPr>
              <w:t>For the Nine Months 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9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1,369</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Depreciation and amortization expense</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deferred finance costs</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note discount</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Deferred income tax provision</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Inventory</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 accrued expenses and other current liabilities</w:t>
            </w: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liabilities</w:t>
            </w:r>
          </w:p>
        </w:tc>
        <w:tc>
          <w:tcPr>
            <w:tcW w:w="9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Cost to acquire intangible assets</w:t>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Purchase of property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44"/>
        </w:trPr>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(1,099)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(167)</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-436880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-153670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38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40"/>
              <w:spacing w:after="0"/>
              <w:rPr>
                <w:sz w:val="20"/>
                <w:szCs w:val="20"/>
                <w:color w:val="auto"/>
              </w:rPr>
            </w:pPr>
            <w:r>
              <w:rPr>
                <w:rFonts w:ascii="Arial" w:cs="Arial" w:eastAsia="Arial" w:hAnsi="Arial"/>
                <w:sz w:val="18"/>
                <w:szCs w:val="18"/>
                <w:color w:val="auto"/>
              </w:rPr>
              <w:t>Shares repurchased including vested restricted stock in exchange for</w:t>
            </w: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withholding taxes</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240"/>
              <w:spacing w:after="0"/>
              <w:rPr>
                <w:sz w:val="20"/>
                <w:szCs w:val="20"/>
                <w:color w:val="auto"/>
              </w:rPr>
            </w:pPr>
            <w:r>
              <w:rPr>
                <w:rFonts w:ascii="Arial" w:cs="Arial" w:eastAsia="Arial" w:hAnsi="Arial"/>
                <w:sz w:val="18"/>
                <w:szCs w:val="18"/>
                <w:color w:val="auto"/>
              </w:rPr>
              <w:t>Payment of deferred finance costs</w:t>
            </w: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long-term debt</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(4,459)</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42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280" w:type="dxa"/>
            <w:vAlign w:val="bottom"/>
            <w:tcBorders>
              <w:bottom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(1,547)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(5,854)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11,694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15,636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9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10,147</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9,782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Reconciliation to amounts on consolidated balance sheets:</w:t>
            </w: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8,638</w:t>
            </w:r>
          </w:p>
        </w:tc>
        <w:tc>
          <w:tcPr>
            <w:tcW w:w="540" w:type="dxa"/>
            <w:vAlign w:val="bottom"/>
            <w:gridSpan w:val="2"/>
            <w:shd w:val="clear" w:color="auto" w:fill="CCEEFF"/>
          </w:tcPr>
          <w:p>
            <w:pPr>
              <w:jc w:val="right"/>
              <w:ind w:right="41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1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cash, cash equivalents, and restricted cash</w:t>
            </w: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Settlement of Ripka earnout through offset to note receivable</w:t>
            </w:r>
          </w:p>
        </w:tc>
        <w:tc>
          <w:tcPr>
            <w:tcW w:w="19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during the period for income taxes</w:t>
            </w:r>
          </w:p>
        </w:tc>
        <w:tc>
          <w:tcPr>
            <w:tcW w:w="19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w:t>
            </w:r>
          </w:p>
        </w:tc>
        <w:tc>
          <w:tcPr>
            <w:tcW w:w="540" w:type="dxa"/>
            <w:vAlign w:val="bottom"/>
            <w:gridSpan w:val="2"/>
            <w:shd w:val="clear" w:color="auto" w:fill="CCEEFF"/>
          </w:tcPr>
          <w:p>
            <w:pPr>
              <w:jc w:val="right"/>
              <w:ind w:right="41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Cash paid during the period for interest</w:t>
            </w:r>
          </w:p>
        </w:tc>
        <w:tc>
          <w:tcPr>
            <w:tcW w:w="1420" w:type="dxa"/>
            <w:vAlign w:val="bottom"/>
            <w:tcBorders>
              <w:top w:val="single" w:sz="8" w:color="CCEEFF"/>
              <w:bottom w:val="single" w:sz="8" w:color="CCEEFF"/>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5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754</w:t>
            </w:r>
          </w:p>
        </w:tc>
        <w:tc>
          <w:tcPr>
            <w:tcW w:w="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condensed consolidated balance sheet as of December 31, 2017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(“Xcel”) and its subsidiaries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2017, as filed with the SEC on March 30, 2018.</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a media and consumer products company. It is engaged in the design, production, marketing, wholesale, direct-to-consumer sales and licensing of branded apparel, footwear, accessories, jewelry, home goods, and other consumer products, and the acquisition of dynamic consumer lifestyle brands. The Company has developed a Fast-to-Market capability driven by its proprietary integrated technology platform. Currently, the Company’s brand portfolio consists of the Isaac Mizrahi brand (the "Isaac Mizrahi Brand"), the Judith Ripka brand (the “Ripka Brand”), the H by Halston and H Halston brands (collectively, the “H Halston Brands”), the C Wonder brand (the “C Wonder Brand”), and the Highline Collective brand.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licenses its brands to third parties, provides certain design, production, and marketing and distribution services, and generates licensing, design, and service fee revenues through contractual arrangements with manufacturers and retailers. This includes licensing its own brands for promotion and distribution through a ubiquitous-channel retail sales strategy, which includes distribution through interactive television, the internet, and traditional brick-and-mortar retail channels.</w:t>
      </w:r>
    </w:p>
    <w:p>
      <w:pPr>
        <w:spacing w:after="0" w:line="18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Commencing with the quarter ended March 31, 2018, the Company separately presented in the Condensed Consolidated Statements of Operations sales and cost of goods sold relating to its jewelry wholesale and e-commerce operations. As of September 30, 2018, the inventory balance related to this business is approximately $0.92 million on our Condensed Consolidated Balance Sheet. Inventory is stated at the lower of cost or market value.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footnotes thereto included in the Company’s Annual Report on Form 10-K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the Financial Accounting Standards Board (“FASB”) issued Accounting Standards Update (“ASU”) No. 2018-13, “Fair Value Measurement (Topic 820): Disclosure Framework – Changes to the Disclosure Requirements for Fair Value Measurement.” This ASU adds, modifies and removes several disclosure requirements relative to the three levels of inputs used to measure fair value in accordance with Topic 820, “Fair Value Measurement.” This guidance is effective for public companies for fiscal years beginning after December 15, 2019, with early adoption permitted. The Company is currently evaluating the new guidance to determine the impact the adoption of this guidance will have on the Company’s results of operations, cash flows and financial condition.</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2016, the FASB issued ASU No. 2016-02, “Leases” (“ASU 2016-02”). The core principle of ASU 2016-02 is that an entity should recognize on its balance sheet assets and liabilities arising from a lease. In accordance with that principle, ASU 2016-02 requires that a lessee recognize a liability to make lease payments (the lease liability) and a right-of-use asset representing its right to use the underlying leased asset for the lease term. The recognition, measurement, and presentation of expenses and cash flows arising from a lease by a lessee will depend on the lease classification as a finance or operating lease. In addition, in July 2018, the FASB issued ASU 2018-11, “Leases (Topic 842): Targeted Improvements”, which among other things, addresses questions related to the initial adoption of the standard in comparative periods by creating another transition method (other than the modified retrospective transition method) that companies can elect to use. The new method allows entities to adopt the new standard at the effective date and recognize a cumulative-effective adjustment in the opening balance of retained earnings in the year of adoption. When adopting the new method, an entity would no longer be required to retroactively apply the standard to prior periods presented in the financial statements. This new accounting guidance is effective for public companies for fiscal years beginning after December 15, 2018 (i.e., calendar years beginning on January 1, 2019), including interim periods within those fiscal years. Early adoption is permitted. We are currently evaluating the impact that the adoption of ASU 2016-02, and 2018-11, will have on our consolidated financial statements and disclosures.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June 2018, the FASB issued ASU No. 2018-07, “Compensation - Stock Compensation (Topic 718) - Improvements to Nonemployee Share-Based Payment Accounting” (“ASU 2018-07”), which largely aligns the accounting for share-based payment awards issued to employees and nonemployees. Under previous GAAP, the accounting for nonemployee share-based payments differed from that applied to employee awards, particularly with regard to the measurement date and the impact of performance conditions. Under the new guidance, the existing employee guidance will apply to nonemployee share-based transactions (as long as the transaction is not effectively a form of financing), with the exception of specific guidance related to the attribution of compensation cost. The cost of nonemployee awards will continue to be recorded as if the grantor had paid cash for the goods or services. In addition, the contractual term will be able to be used in lieu of an expected term in the option-pricing model for nonemployee awards. Changes to the accounting for nonemployee awards include:</w:t>
      </w:r>
    </w:p>
    <w:p>
      <w:pPr>
        <w:spacing w:after="0" w:line="167" w:lineRule="exact"/>
        <w:rPr>
          <w:sz w:val="20"/>
          <w:szCs w:val="20"/>
          <w:color w:val="auto"/>
        </w:rPr>
      </w:pPr>
    </w:p>
    <w:p>
      <w:pPr>
        <w:ind w:left="240" w:hanging="110"/>
        <w:spacing w:after="0" w:line="258"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Equity-classified share-based payment awards issued to nonemployees will now be measured on the grant date, instead of the previous requirement to remeasure the awards through the performance completion date;</w:t>
      </w:r>
    </w:p>
    <w:p>
      <w:pPr>
        <w:spacing w:after="0" w:line="1" w:lineRule="exact"/>
        <w:rPr>
          <w:rFonts w:ascii="Arial" w:cs="Arial" w:eastAsia="Arial" w:hAnsi="Arial"/>
          <w:sz w:val="18"/>
          <w:szCs w:val="18"/>
          <w:color w:val="auto"/>
        </w:rPr>
      </w:pPr>
    </w:p>
    <w:p>
      <w:pPr>
        <w:ind w:left="240" w:hanging="110"/>
        <w:spacing w:after="0" w:line="250"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performance conditions, compensation cost associated with the award will be recognized when achievement of the performance condition is probable, rather than upon achievement of the performance condition; and</w:t>
      </w:r>
    </w:p>
    <w:p>
      <w:pPr>
        <w:ind w:left="240" w:right="20" w:hanging="110"/>
        <w:spacing w:after="0" w:line="261"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requirement to reassess the classification (equity or liability) for nonemployee awards upon vesting will be eliminated, except for awards in the form of convertible instruments.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new guidance also clarifies that any share-based payment awards issued to customers should be evaluated under Accounting Standards Codification (“ASC”) 606, “Revenue from Contracts with Customers” (“ASC 606”).</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new accounting guidance is effective for public companies for fiscal years beginning after December 15, 2018 (i.e., calendar years beginning on January 1, 2019), including interim periods within those fiscal years. The guidance should be applied to all new awards granted after the date of adoption. In addition, all liability-classified awards that have not been settled and equity-classified awards for which a measurement date has not been established by the adoption date should be remeasured at fair value as of the adoption date with a cumulative effect adjustment to opening retained earnings in the fiscal year of adoption. Early adoption is permitted. The adoption of ASU 2018-07 did not have a material impact on the Company’s consolidated financial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2.  Trademarks and Other Intangibles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color w:val="auto"/>
              </w:rPr>
              <w:t>Trademarks and other intangibles, net consist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9"/>
              </w:rPr>
              <w:t>September 30, 2018</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Gross Carrying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15,463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12,200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7 years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Copyrights and other intellectual property</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10 years</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112,921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109,272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3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Gross Carrying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20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Trademarks (indefinite-lived)</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2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15,463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12,973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7 years</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Copyrights and other intellectual property</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10 years</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112,921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approximately $0.28 million in each of the three-month periods ended September 30, 2018 and 2017.</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approximately $0.85 million in each of the nine-month periods ended September 30, 2018 and 2017.</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trademarks related to the Isaac Mizrahi Brand, the Ripka Brand, and the H Halston Brands have been determined to have indefinite useful lives and, accordingly, no amortization has been recorded for these assets.</w:t>
      </w:r>
    </w:p>
    <w:p>
      <w:pPr>
        <w:spacing w:after="0" w:line="166"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Significant Contracts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adopted ASC 606 under the modified retrospective adoption method effective January 1, 2018, by applying the new guidance only to contracts that were not completed at the date of initial application. The Company’s evaluation of the impact of the adoption of the new revenue standard on its consolidated financial statements included the identification of revenue within the scope of the guidance and the evaluation of applicable revenue contracts. The Company performed an extensive analysis of its existing contracts with customers and its revenue recognition policies and determined that the adoption did not result in material differences from the Company’s prior revenue recognition policies. In addition, the adoption of ASC 606 did not result in material differences in the amount of revenue recognized in the current quarter and year-to-date period when compared to the amount of revenue that would have been recognized in the current quarter and year-to-date period under the old guidance. The Company recognizes revenue continuously over time as it satisfies its continuous obligation of granting access to its licensed intellectual properties, which are deemed symbolic intellectual properties under the new revenue guidance. Payments are typically due after sales have occurred and have been reported by the licensees or, whereas applicable, in accordance with minimum guaranteed payments provisions. The timing of performance obligations is typically consistent with the timing of payments, however there may be differences if contracts provide for advances or significant escalations of contractually guaranteed minimum payments. There were no such differences that would have a material impact on our unaudited condensed consolidated balance sheet at September 30, 2018 or December 31, 2017. In accordance with ASC 606-10-55-65, the Company recognizes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172" w:lineRule="exact"/>
        <w:rPr>
          <w:sz w:val="20"/>
          <w:szCs w:val="20"/>
          <w:color w:val="auto"/>
        </w:rPr>
      </w:pPr>
    </w:p>
    <w:p>
      <w:pPr>
        <w:jc w:val="both"/>
        <w:ind w:left="460" w:hanging="330"/>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186" w:lineRule="exact"/>
        <w:rPr>
          <w:rFonts w:ascii="Arial" w:cs="Arial" w:eastAsia="Arial" w:hAnsi="Arial"/>
          <w:sz w:val="18"/>
          <w:szCs w:val="18"/>
          <w:color w:val="auto"/>
        </w:rPr>
      </w:pPr>
    </w:p>
    <w:p>
      <w:pPr>
        <w:jc w:val="both"/>
        <w:ind w:left="460" w:hanging="330"/>
        <w:spacing w:after="0" w:line="30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 only when the minimum guaranteed is exceeded on a cumulative basis (this approach is identified as “View C” by the TRG).</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does not typically perform by transferring goods or services to customers before the customer pays consideration or before payment is due, thus the implementation of ASC 606 did not result in material contract assets in accordance with ASC 606-10-45-3. The Company’s unconditional right to receive consideration based on the terms and conditions of licensing contracts is presented as accounts receivable on the accompanying condensed consolidated balance. The Company typically does not receive consideration in advance of performance and, consequently, amounts of contract liabilities as defined by ASC 606-10-45-2 were not material as of September 30, 2018 and December 31, 2017.</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September 30, 2018 are expected to be recognized ratably in accordance with View C over the remaining term of each contract based on the passage of time and through December 2023.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new revenue standard did not result in a material impact on the Company’s ongoing results of operations, the Company did implement changes to its processes and methodologies related to revenue recognition. These included the development of new policies and/or modification of existing policies based on the five-step model provided in the new revenue standard, new training, ongoing contract review requirements, and gathering of information provided for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Company’s agreements with QVC, QVC is required to pay the Company fees based primarily on a percentage of its net sales of Isaac Mizrahi, Ripka, H Halston, and C Wonder branded merchandise. QVC royalty revenue represents a significant portion of the Company’s total revenues. Net revenues from QVC totaled $6.42 million and $6.32 million for the current and prior year quarter, respectively, representing approximately 80% of the Company’s net revenues for each quarter. Net revenues from QVC totaled $19.90 million and $20.33 million for the current and the prior year nine months, respectively, representing approximately 80% and 82% of the Company’s net revenues, respectively. As of September 30, 2018, and December 31, 2017, the Company had receivables from QVC of $6.45 million and $5.47 million, respectively, representing approximately 67% and 64% of the Company’s total receivables, respectively.</w:t>
      </w:r>
    </w:p>
    <w:p>
      <w:pPr>
        <w:spacing w:after="0" w:line="18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28, 2017, the Company and QVC entered into an amendment to terminate the C Wonder QVC Agreement effective May 1, 2017 and commence a sell-off period. During the sell-off period, QVC remained obligated to pay royalties to the Company through January 31, 2018, and QVC retained exclusive rights with respect to C Wonder branded products for interactive television, excluding certain permitted international entities, through May 1, 2018.</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4.  Debt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92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was comprised of the following:</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11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September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w:t>
            </w:r>
          </w:p>
        </w:tc>
      </w:tr>
      <w:tr>
        <w:trPr>
          <w:trHeight w:val="216"/>
        </w:trPr>
        <w:tc>
          <w:tcPr>
            <w:tcW w:w="11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r>
      <w:tr>
        <w:trPr>
          <w:trHeight w:val="234"/>
        </w:trPr>
        <w:tc>
          <w:tcPr>
            <w:tcW w:w="7920" w:type="dxa"/>
            <w:vAlign w:val="bottom"/>
            <w:gridSpan w:val="2"/>
          </w:tcPr>
          <w:p>
            <w:pPr>
              <w:ind w:left="1140"/>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Xcel Term Loan</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Unamortized deferred finance costs related to term loan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r>
      <w:tr>
        <w:trPr>
          <w:trHeight w:val="216"/>
        </w:trPr>
        <w:tc>
          <w:tcPr>
            <w:tcW w:w="11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IM Seller Note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Ripka Seller Note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Contingent obligation - JR Seller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obligation - CW Seller</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80" w:type="dxa"/>
            <w:vAlign w:val="bottom"/>
            <w:tcBorders>
              <w:bottom w:val="single" w:sz="8" w:color="CCEEFF"/>
            </w:tcBorders>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Current portion of long term debt (i)</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5,459</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 contingent obligations (ii)</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19,389</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right="20" w:hanging="230"/>
        <w:spacing w:after="0" w:line="277" w:lineRule="auto"/>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current portion of long-term debt as of September 30, 2018 consists of (a) $4.0 million related to the Xcel Term Loan, (b) $0.74 million related to the IM Seller Note, and (c) $0.57 million related to the Ripka Seller Note.</w:t>
      </w:r>
    </w:p>
    <w:p>
      <w:pPr>
        <w:spacing w:after="0" w:line="170" w:lineRule="exact"/>
        <w:rPr>
          <w:sz w:val="20"/>
          <w:szCs w:val="20"/>
          <w:color w:val="auto"/>
        </w:rPr>
      </w:pPr>
    </w:p>
    <w:p>
      <w:pPr>
        <w:ind w:left="360" w:right="20" w:hanging="229"/>
        <w:spacing w:after="0" w:line="308" w:lineRule="auto"/>
        <w:rPr>
          <w:sz w:val="20"/>
          <w:szCs w:val="20"/>
          <w:color w:val="auto"/>
        </w:rPr>
      </w:pPr>
      <w:r>
        <w:rPr>
          <w:rFonts w:ascii="Arial" w:cs="Arial" w:eastAsia="Arial" w:hAnsi="Arial"/>
          <w:sz w:val="17"/>
          <w:szCs w:val="17"/>
          <w:color w:val="auto"/>
        </w:rPr>
        <w:t>(ii)The current portion of long-term debt, contingent obligations as of September 30, 2018 consists of (a) $0.1 million related to the contingent obligation - JR Seller and (b) $2.85 million related to the C Wonder contingent obligation in connection with the purchase of the C Wonder Brand.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Xcel Term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BHI (Bank Hapoalim B.M.) as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February 24, 2017, Xcel and BHI amended the terms of the Loan Agreement (the “Amended Loan Agreement”). Under this amendment, principal payments for the year ending December 31, 2017 were increased by a total of $1,000,000, principal payments for the year ending December 31, 2021 were decreased by $1,000,000, and the minimum EBITDA (as defined in the Amended Loan Agreement) requirement for the year ended December 31, 2016 was eliminated. There were no changes to the total principal balance, interest rate, maturity date, or other terms of the Loan Agreement. Management assessed and determined that this amendment represented a debt modification and, accordingly, no gain or loss was recorded.</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15, 2017, Xcel and BHI entered into a second amendment to the Amended Loan Agreement. Under this amendment, principal payments for the year ending December 31, 2017 were increased by a total of $750,000, principal payments for the year ending December 31, 2021 were decreased by $750,000, the minimum EBITDA (as defined in the Second Amendment to the Amended Loan Agreement) requirement for the year ending December 31, 2017 was changed from $9,000,000 to $7,000,000, and the minimum EBITDA requirements for the years ending December 31, 2018 and 2019 were changed from $9,000,000 to $8,000,000. There were no changes to the total principal balance, interest rate, maturity date, or other terms of the Loan Agreement. Management assessed and determined that this amendment represented a debt modification and, accordingly, no gain or loss was recorded. The current effective interest rate on the Amended Loan Agreement is approximately 6.05%.</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Xcel Term Loan matures on January 1, 2021. Principal on the Xcel Term Loan is payable in quarterly installments on each of January 1, April 1, July 1 and October 1. As of September 30, 2018, the aggregate remaining scheduled annual principal payments under the Second Amendment to the Loan Agreement were as follows:</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8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Principal</w:t>
            </w:r>
          </w:p>
        </w:tc>
      </w:tr>
      <w:tr>
        <w:trPr>
          <w:trHeight w:val="234"/>
        </w:trPr>
        <w:tc>
          <w:tcPr>
            <w:tcW w:w="79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Payment</w:t>
            </w:r>
          </w:p>
        </w:tc>
      </w:tr>
      <w:tr>
        <w:trPr>
          <w:trHeight w:val="210"/>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(October 1 through December 31)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(the “Excess Cash Flow Principal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 The estimated Excess Cash Flow Principal Payment provision of the Xcel Term Loan is expected to be minimal for the year ending December 31, 2018. As of September 30, 2018, there was no allocation to the current portion of long-term debt relating to the Excess Cash Flow Principal Payment.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Amendment to the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equal to the principal amount outstanding under the Xcel Term Loan on the date of prepayment, multiplied by: (i) two percent (2.00%) if the Xcel Term Loan is prepaid on or after the closing date and on or before the second anniversary of the closing date; or (ii) one percent (1.00%) if the Xcel Term Loan is prepaid after the second anniversary of the closing date and on or before the third anniversary of the closing date.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Xcel’s obligations under the Amended Loan Agreement are guaranteed by the Guarantors and secured by all of the assets of Xcel and the Guarantors (as well as any subsidiary formed or acquired that becomes a credit party to the Amended Loan Agreement) and, subject to certain limitations contained in the Amended Loan Agreement, equity interests of the Guarantors (as well as any subsidiary formed or acquired that becomes a credit party to the Amended Loan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Amended Loan Agreement):</w:t>
      </w:r>
    </w:p>
    <w:p>
      <w:pPr>
        <w:spacing w:after="0" w:line="181" w:lineRule="exact"/>
        <w:rPr>
          <w:sz w:val="20"/>
          <w:szCs w:val="20"/>
          <w:color w:val="auto"/>
        </w:rPr>
      </w:pPr>
    </w:p>
    <w:p>
      <w:pPr>
        <w:ind w:left="700" w:right="20" w:hanging="341"/>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worth (as defined in the Amended Loan Agreement) of at least $90,000,000 at the end of each fiscal quarter ending on June 30 and December 31 of each fiscal year;</w:t>
      </w:r>
    </w:p>
    <w:p>
      <w:pPr>
        <w:spacing w:after="0" w:line="170"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 assets of at least $5,000,000, until such time as the ratio of indebtedness to EBITDA (as defined in the Amended Loan Agreement) is less than 1.00 to 1.00 and, in which event, liquid assets must be at least $3,000,000;</w:t>
      </w:r>
    </w:p>
    <w:p>
      <w:pPr>
        <w:spacing w:after="0" w:line="170" w:lineRule="exact"/>
        <w:rPr>
          <w:rFonts w:ascii="Arial" w:cs="Arial" w:eastAsia="Arial" w:hAnsi="Arial"/>
          <w:sz w:val="18"/>
          <w:szCs w:val="18"/>
          <w:color w:val="auto"/>
        </w:rPr>
      </w:pPr>
    </w:p>
    <w:p>
      <w:pPr>
        <w:ind w:left="700" w:hanging="341"/>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fixed charge ratio of at least 1.20 to 1.00 for each fiscal quarter ended June 30 and December 31 for the twelve fiscal month period ending on such date;</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Capital expenditures shall not exceed (i) $1,700,000 for the year ending December 31, 2018 and (ii) $700,000 for any fiscal year thereafter; and</w:t>
      </w:r>
    </w:p>
    <w:p>
      <w:pPr>
        <w:spacing w:after="0" w:line="248" w:lineRule="exact"/>
        <w:rPr>
          <w:rFonts w:ascii="Arial" w:cs="Arial" w:eastAsia="Arial" w:hAnsi="Arial"/>
          <w:sz w:val="16"/>
          <w:szCs w:val="16"/>
          <w:color w:val="auto"/>
        </w:rPr>
      </w:pPr>
    </w:p>
    <w:p>
      <w:pPr>
        <w:ind w:left="700" w:hanging="341"/>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EBITDA (as defined in the Amended Loan Agreement) of not less than $8,000,000 for the fiscal years ending December 31, 2018 and 2019, and not less of $9,000,000 for the following fiscal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applicable covenants as of September 30,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Xcel Term Loan accrues at a fixed rate of 5.1% per annum and is payable on each day on which the scheduled principal payments are required to be made. For the current and prior year quarter, the Company incurred interest expense on its senior term loan debt with BHI of approximately $215,000 and $257,000, respectively. For the current and prior year nine months, the Company incurred interest expense on its senior term loan debt with BHI of approximately $677,000 and $852,000,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was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was amortized over the term of the IM Seller Note and recorded as other interest and finance expense on the Company’s condensed consolidated statements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24, 2013, the IM Seller Note was amended to (1) revise the maturity date to September 30, 2016, (2) revise the date to which the maturity date may be extended to September 30, 2018, (3) provide the Company with a prepayment right with its common stock, subject to remitting in cash certain required cash payments and a minimum common stock price of $4.50 per share, and (4) require interim scheduled payments.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2016, the IM Seller Note was further amended and restated to (1) revise the maturity date to March 31, 2019, (2) require six semi-annual principal and interest installment payments of $750,000,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the aggregate remaining annual principal payment under the IM Seller Note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gridSpan w:val="2"/>
          </w:tcPr>
          <w:p>
            <w:pPr>
              <w:ind w:left="1140"/>
              <w:spacing w:after="0"/>
              <w:rPr>
                <w:sz w:val="20"/>
                <w:szCs w:val="20"/>
                <w:color w:val="auto"/>
              </w:rPr>
            </w:pPr>
            <w:r>
              <w:rPr>
                <w:rFonts w:ascii="Arial" w:cs="Arial" w:eastAsia="Arial" w:hAnsi="Arial"/>
                <w:sz w:val="18"/>
                <w:szCs w:val="18"/>
                <w:b w:val="1"/>
                <w:bCs w:val="1"/>
                <w:color w:val="auto"/>
              </w:rPr>
              <w:t>($ in thousands)</w:t>
            </w: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Amount of</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Principal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4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Payment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(October 1 through December 31)</w:t>
            </w:r>
          </w:p>
        </w:tc>
        <w:tc>
          <w:tcPr>
            <w:tcW w:w="4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2019</w:t>
            </w:r>
          </w:p>
        </w:tc>
        <w:tc>
          <w:tcPr>
            <w:tcW w:w="43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4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300" w:type="dxa"/>
            <w:vAlign w:val="bottom"/>
            <w:vMerge w:val="restart"/>
          </w:tcPr>
          <w:p>
            <w:pPr>
              <w:jc w:val="right"/>
              <w:ind w:right="323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current and prior year quarter, the Company incurred interest expense of approximately $8,000 and $16,000, respectively, under the IM Seller Note. For the current nine months and the prior year nine months, the Company incurred interest expense of approximately $29,000 and $53,000, respectively, under the IM Seller Note.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Ripka Seller Note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September 30, 2018, the remaining discounted balance of the non-interest bearing note relating to the acquisition of the Ripka Brand (the “Ripka Seller Note”) was approximately $573,000. An aggregate $600,000 principal amount of the Ripka Seller Note is due at maturity (April 1, 2019).</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current and prior year quarter, the Company incurred interest expense of approximately $10,000 in each period, under the Ripka Seller Note, which consisted solely of amortization of the discount on the Ripka Seller Note. For the current nine months and the prior year nine months, the Company incurred interest expense of approximately $31,000 and $28,000, respectively, under the Ripka Seller Note, which consists solely of amortization of the discount on the Ripka Seller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Ripka earn-out is contingent upon the Ripka Brand achieving at least $6,000,000 of net royalty income from QVC during each of the 12-month periods ending on March 31, 2018 and 2019, and is payable in equal cash payments on each of May 15, 2018 and 2019. As of September 30, 2018, and December 31, 2017, the Ripka Earn-Out was $0.1 million and $0.2 million, respectively. The Ripka Brand achieved the above-indicated threshold of net royalty income from QVC during the 12-month period ended March 31, 2018, and on May 15, 2018 the Company settled the $100,000 earnout due by reducing the principal amount owed by Judith Ripka to the Company under a promissory note (included in prepaid expenses and other current assets on the Unaudited Condensed Consolidated Balance Sheets as of September 30, 2018). As of September 30, 2018, the remaining expected value (which approximates fair value) of the Ripka Earn-Out of $0.1 million was recorded in the current portion of long-term debt in the accompanying condensed consolidated balance sheet. As of December 31, 2017, the remaining expected value (which approximated fair value) of the Ripka Earn-Out of $0.2 million was recorded as long-term debt in the accompanying condensed consolidated balance sheets, of which $0.1 million was presented in the current portion of long-term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Obligations - CW Seller (C Wonder Earn-Out)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current portion of long-term debt in the accompanying condensed consolidated balance sheet as of September 30, 2018 and in long-term debt December 31, 2017, based on the probability of the C Wonder Brand achieving certain net royalty income targets within the earn-out periods and then calculating the present value of the weighted average payment amount. In accordance with ASC Topic 480, the C Wonder Earn-Out obligation is classified as a liability in the accompanying condensed consolidated balance sheets because of the variable number of shares payable under the agreement.</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2018, and December 31, 2017, total contingent obligations were $2.95 million and $3.05 million, respectively. The September 30, 2018 contingent obligation balance of $2.95 million was recorded as a current portion of long-term debt. The December 31, 2017 contingent obligation balance of $3.05 million was recorded as a $0.1 million and $2.95 million current portion of long-term debt and long-term debt, respectively.</w:t>
      </w:r>
    </w:p>
    <w:p>
      <w:pPr>
        <w:spacing w:after="0" w:line="16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accounts for non-employee awards in accordance with ASC Topic 505-50, “Equity-Based Payments to Non-Employees”.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Forfeitures are accounted for as a reduction of compensation cost in the period when such forfeitures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Options granted under the Plan expire at various times - either five, seven, or ten years from the date of grant, depending on the particular grant.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30, 2018, the Company granted options to purchase an aggregate of 50,000 shares of common stock to a certain key employee. The exercise price of the options is $5.50 per share, and all options vested immediately on the date of grant.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2, 2018, the Company granted options to purchase an aggregate of 150,000 shares of common stock to non-management directors. The exercise price of the options is $3.00 per share, and 50% of the options will vest on each of April 2, 2019 and April 2,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grant any options during the quarter ended September 30,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3"/>
          </w:tcPr>
          <w:p>
            <w:pPr>
              <w:spacing w:after="0"/>
              <w:rPr>
                <w:sz w:val="20"/>
                <w:szCs w:val="20"/>
                <w:color w:val="auto"/>
              </w:rPr>
            </w:pPr>
            <w:r>
              <w:rPr>
                <w:rFonts w:ascii="Arial" w:cs="Arial" w:eastAsia="Arial" w:hAnsi="Arial"/>
                <w:sz w:val="18"/>
                <w:szCs w:val="18"/>
                <w:color w:val="auto"/>
                <w:w w:val="95"/>
              </w:rPr>
              <w:t>A summary of the Company’s stock options activity for the current nine months is as follows: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6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62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Years)</w:t>
            </w:r>
          </w:p>
        </w:tc>
        <w:tc>
          <w:tcPr>
            <w:tcW w:w="16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3,468,833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(392,624)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September 30, 2018, and expected to vest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3,276,209</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r>
      <w:tr>
        <w:trPr>
          <w:trHeight w:val="197"/>
        </w:trPr>
        <w:tc>
          <w:tcPr>
            <w:tcW w:w="5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September 30, 2018</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1,728,630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5.60</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stock options for the current quarter and the prior year quarter was approximately $319,000 and $313,000, respectively. Compensation expense related to stock options for the current nine months and the prior year nine months was approximately $867,000 and $887,000, respectively. Total unrecognized compensation expense related to unvested stock options at September 30, 2018 amounts to approximately $1,088,000 and is expected to be recognized over a weighted average period of 1.87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nine months: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58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8580" w:type="dxa"/>
            <w:vAlign w:val="bottom"/>
          </w:tcPr>
          <w:p>
            <w:pPr>
              <w:spacing w:after="0"/>
              <w:rPr>
                <w:sz w:val="20"/>
                <w:szCs w:val="20"/>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2,613,497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200,000</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r>
      <w:tr>
        <w:trPr>
          <w:trHeight w:val="216"/>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(908,586)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Forfeited or Canceled</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(357,332)</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23"/>
        </w:trPr>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2018</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1,547,579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Warrants granted under the Plan expire at various times - either five, seven, or ten years from the date of grant, depending on the particular grant.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3"/>
          </w:tcPr>
          <w:p>
            <w:pPr>
              <w:spacing w:after="0"/>
              <w:rPr>
                <w:sz w:val="20"/>
                <w:szCs w:val="20"/>
                <w:color w:val="auto"/>
              </w:rPr>
            </w:pPr>
            <w:r>
              <w:rPr>
                <w:rFonts w:ascii="Arial" w:cs="Arial" w:eastAsia="Arial" w:hAnsi="Arial"/>
                <w:sz w:val="18"/>
                <w:szCs w:val="18"/>
                <w:color w:val="auto"/>
              </w:rPr>
              <w:t>A summary of the Company’s warrants activity for the current nine months is as follows: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6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62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Warrants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and exercisable at January 1, 2018</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1,891,743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Expired/Forfeited</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(676,928)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Outstanding and exercisable at September 30, 2018</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1,214,815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compensation expense was recognized in the current nine months or prior year nine months related to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14, 2018, the Company issued an aggregate of 90,209 shares of stock to certain non-executive employees, which vested immediately.</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 2018, the Company issued an aggregate of 48,000 shares of stock to certain non-management directors, which will vest evenly over two years, whereby 50% shall vest on April 2, 2019, and 50% shall vest on April 2,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April 3, 2018, the Company issued an aggregate of 25,599 shares of stock to certain non-executive employees, which vested immediately.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May 31, 2018, the Company issued an aggregate of 1,664 shares of stock to certain non-executive employees, which vested immediately.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June 5, 2018, the Company issued an aggregate of 7,000 shares of stock to a consultant, which vested immediately.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A summary of the Company’s restricted stock activity for the current nine months is as follows: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11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Restricted</w:t>
            </w:r>
          </w:p>
        </w:tc>
        <w:tc>
          <w:tcPr>
            <w:tcW w:w="20" w:type="dxa"/>
            <w:vAlign w:val="bottom"/>
          </w:tcPr>
          <w:p>
            <w:pPr>
              <w:spacing w:after="0"/>
              <w:rPr>
                <w:sz w:val="18"/>
                <w:szCs w:val="18"/>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116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Fair Value</w:t>
            </w:r>
          </w:p>
        </w:tc>
      </w:tr>
      <w:tr>
        <w:trPr>
          <w:trHeight w:val="210"/>
        </w:trPr>
        <w:tc>
          <w:tcPr>
            <w:tcW w:w="116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2,143,088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172,472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(592,639)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Expired/Forfeited</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Outstanding at September 30, 2018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1,722,921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expense related to restricted stock grants for the current and prior year quarter was approximately $128,000 and $377,000, respectively. Compensation expense related to restricted stock grants for the current and prior year nine months, was approximately $548,000 and $1,609,000, respectively. Total unrecognized compensation expense related to unvested restricted stock grants at September 30, 2018 amounts to approximately $393,000 and is expected to be recognized over a weighted average period of 1.05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2018, there were 5,668,029 shares of common stock available for issuance under the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2018, there were 10,159,053 shares of common stock reserved for issuance pursuant to unexercised warrants and stock options, or available for issuance under the Plan.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Basic</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 of exercise of warrants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Effect of exercise of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27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19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9"/>
              </w:rPr>
              <w:t>September 30,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195"/>
        </w:trPr>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18,266,202</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w w:val="90"/>
              </w:rPr>
              <w:t>18,470,977</w:t>
            </w:r>
          </w:p>
        </w:tc>
        <w:tc>
          <w:tcPr>
            <w:tcW w:w="220" w:type="dxa"/>
            <w:vAlign w:val="bottom"/>
          </w:tcPr>
          <w:p>
            <w:pPr>
              <w:spacing w:after="0"/>
              <w:rPr>
                <w:sz w:val="16"/>
                <w:szCs w:val="16"/>
                <w:color w:val="auto"/>
              </w:rPr>
            </w:pPr>
          </w:p>
        </w:tc>
        <w:tc>
          <w:tcPr>
            <w:tcW w:w="1240" w:type="dxa"/>
            <w:vAlign w:val="bottom"/>
          </w:tcPr>
          <w:p>
            <w:pPr>
              <w:jc w:val="right"/>
              <w:spacing w:after="0" w:line="195" w:lineRule="exact"/>
              <w:rPr>
                <w:sz w:val="20"/>
                <w:szCs w:val="20"/>
                <w:color w:val="auto"/>
              </w:rPr>
            </w:pPr>
            <w:r>
              <w:rPr>
                <w:rFonts w:ascii="Arial" w:cs="Arial" w:eastAsia="Arial" w:hAnsi="Arial"/>
                <w:sz w:val="18"/>
                <w:szCs w:val="18"/>
                <w:color w:val="auto"/>
              </w:rPr>
              <w:t>18,304,608</w:t>
            </w:r>
          </w:p>
        </w:tc>
        <w:tc>
          <w:tcPr>
            <w:tcW w:w="200" w:type="dxa"/>
            <w:vAlign w:val="bottom"/>
          </w:tcPr>
          <w:p>
            <w:pPr>
              <w:spacing w:after="0"/>
              <w:rPr>
                <w:sz w:val="16"/>
                <w:szCs w:val="16"/>
                <w:color w:val="auto"/>
              </w:rPr>
            </w:pP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18,530,963</w:t>
            </w:r>
          </w:p>
        </w:tc>
        <w:tc>
          <w:tcPr>
            <w:tcW w:w="20" w:type="dxa"/>
            <w:vAlign w:val="bottom"/>
          </w:tcPr>
          <w:p>
            <w:pPr>
              <w:spacing w:after="0"/>
              <w:rPr>
                <w:sz w:val="16"/>
                <w:szCs w:val="16"/>
                <w:color w:val="auto"/>
              </w:rPr>
            </w:pPr>
          </w:p>
        </w:tc>
      </w:tr>
      <w:tr>
        <w:trPr>
          <w:trHeight w:val="230"/>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841</w:t>
            </w:r>
          </w:p>
        </w:tc>
        <w:tc>
          <w:tcPr>
            <w:tcW w:w="4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364,340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364,247</w:t>
            </w:r>
          </w:p>
        </w:tc>
      </w:tr>
      <w:tr>
        <w:trPr>
          <w:trHeight w:val="230"/>
        </w:trPr>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37,436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5,180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1,208</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18,267,043</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18,872,753</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18,310,654</w:t>
            </w:r>
          </w:p>
        </w:tc>
        <w:tc>
          <w:tcPr>
            <w:tcW w:w="20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18,896,418</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908" w:right="239" w:bottom="144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computation of diluted EPS excludes the common stock equivalents of the following potentially dilutive securities because their inclusion would be anti-dilutive: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0" w:type="dxa"/>
            <w:vAlign w:val="bottom"/>
            <w:gridSpan w:val="5"/>
          </w:tcPr>
          <w:p>
            <w:pPr>
              <w:ind w:left="560"/>
              <w:spacing w:after="0"/>
              <w:rPr>
                <w:sz w:val="20"/>
                <w:szCs w:val="20"/>
                <w:color w:val="auto"/>
              </w:rPr>
            </w:pPr>
            <w:r>
              <w:rPr>
                <w:rFonts w:ascii="Arial" w:cs="Arial" w:eastAsia="Arial" w:hAnsi="Arial"/>
                <w:sz w:val="18"/>
                <w:szCs w:val="18"/>
                <w:b w:val="1"/>
                <w:bCs w:val="1"/>
                <w:color w:val="auto"/>
              </w:rPr>
              <w:t>Three Months Ended</w:t>
            </w:r>
          </w:p>
        </w:tc>
        <w:tc>
          <w:tcPr>
            <w:tcW w:w="280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5620" w:type="dxa"/>
            <w:vAlign w:val="bottom"/>
          </w:tcPr>
          <w:p>
            <w:pPr>
              <w:spacing w:after="0"/>
              <w:rPr>
                <w:sz w:val="19"/>
                <w:szCs w:val="19"/>
                <w:color w:val="auto"/>
              </w:rPr>
            </w:pPr>
          </w:p>
        </w:tc>
        <w:tc>
          <w:tcPr>
            <w:tcW w:w="1940" w:type="dxa"/>
            <w:vAlign w:val="bottom"/>
            <w:gridSpan w:val="3"/>
          </w:tcPr>
          <w:p>
            <w:pPr>
              <w:ind w:left="840"/>
              <w:spacing w:after="0"/>
              <w:rPr>
                <w:sz w:val="20"/>
                <w:szCs w:val="20"/>
                <w:color w:val="auto"/>
              </w:rPr>
            </w:pPr>
            <w:r>
              <w:rPr>
                <w:rFonts w:ascii="Arial" w:cs="Arial" w:eastAsia="Arial" w:hAnsi="Arial"/>
                <w:sz w:val="18"/>
                <w:szCs w:val="18"/>
                <w:b w:val="1"/>
                <w:bCs w:val="1"/>
                <w:color w:val="auto"/>
                <w:w w:val="87"/>
              </w:rPr>
              <w:t>September 30,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Borders>
              <w:bottom w:val="single" w:sz="8" w:color="CCEEFF"/>
            </w:tcBorders>
          </w:tcPr>
          <w:p>
            <w:pPr>
              <w:spacing w:after="0"/>
              <w:rPr>
                <w:sz w:val="20"/>
                <w:szCs w:val="20"/>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warrants</w:t>
            </w:r>
          </w:p>
        </w:tc>
        <w:tc>
          <w:tcPr>
            <w:tcW w:w="12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7"/>
              </w:rPr>
              <w:t>4,491,024</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4,465,584</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4,491,024</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4,485,584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Income Tax</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effective income tax rate for the current quarter and the prior year quarter was approximately 14% and 73%, respectively, resulting in an income tax provision of $158,000 and $691,000,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income tax rate for the current nine months and the prior year nine months was approximately 56% and 96%, respectively, resulting in an income tax provision of $1,717,000 and $1,704,000,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current quarter the federal statutory rate differs from the effective tax rate primarily due to state taxes and recurring permanent differences, which increased (decreased) the effective tax rate by approximately 3.64% and (11.15%), respectively. The effective tax rate was also attributable to the tax impact from the vesting of restricted common stock, which was treated as a discrete item for tax purposes. This item increased the effective tax rate by 0.34%. The decrease in the effective tax rate in the current quarter related to recurring permanent differences is due to the favorable treatment of performance based compensation as enacted under the Tax Cuts and Jobs Act (“TCJA”) and subsequent guidance published by the Internal Revenue Service (“IRS”) on August 21, 2018.</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current nine-month period the federal statutory rate differs from the effective tax rate primarily due to state taxes and recurring permanent differences, which increased the effective tax rate by approximately 9.49% and 4.75%, respectively. The effective tax rate was also attributable to the tax impact from the vesting of restricted common stock, which was treated as a discrete item for tax purposes. This item increased the effective tax rate by 20.37%.</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prior year quarter and prior year nine months, the effective tax rate was primarily attributable to recurring permanent differences. Based on the amount of income before income taxes compared to the recurring permanent differences, the effective tax rate increased by approximately 34% and 33%, respectively. The effective tax rate was also impacted by the tax impact from the vesting of restricted shares of common stock. The excess tax deficiencies were treated as a discrete item for tax as required by ASU 2016-09, “Improvements to Employee Share-Based Payment Accounting.” This item increased the effective rate by 5% for the prior year quarter and 30% for the prior year nine months,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22, 2017 the SEC staff issued Staff Accounting Bulletin (“SAB”) No. 118, which provides guidance on accounting for the tax effects of the Tax Cuts and Job Act ("TCJA"). The purpose of SAB No. 118 was to address any uncertainty or diversity of view in applying ASC Topic 740, “Income Taxes,” in the reporting period in which the TCJA was enacted. SAB No. 118 addresses situations where the accounting is incomplete for certain income tax effects of the TJCA upon issuance of a company’s financial statements for the reporting period that includes the enactment date. SAB No. 118 allows for a provisional amount to be recorded if it is a reasonable estimate of the impact of the TCJA. Additionally, SAB No. 118 allows for a measurement period to finalize the impacts of the TCJA, not to extend beyond one year from the date of enactment. The Company’s accounting for the certain elements of the TCJA was incomplete as of the period ended December 31, 2017, and remains incomplete as of September 30, 2018. However, the Company was able to make reasonable estimates of the effects and, therefore, recorded provisional estimates for these items at December 31, 2017. There have been no changes to the provisional estimates recorded as of December 31, 2017 during the quarter and nine months ended September 30, 2018.</w:t>
      </w:r>
    </w:p>
    <w:p>
      <w:pPr>
        <w:spacing w:after="0" w:line="163"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Concurrent with the acquisition of the H Halston Brand on December 22, 2014, the Company and The H Company IP, LLC (“HIP”) entered into a license agreement (the “HIP License Agreement”), which was subsequently amended September 1, 2015. Benjamin Malka, a director of the Company, is a 25% equity holder of HIP’s parent company, House of Halston LLC (“HOH”), and is Chief Executive Officer of HOH. The HIP license agreement provides for royalty payments including guaranteed minimum royalties to be paid to the Company during the initial term that expires on December 31, 2019.</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 2015, the Company entered into a license agreement with Lord and Taylor, LLC (the “L&amp;T License”) and simultaneously amended the HIP License Agreement eliminating HIP’s minimum guaranteed royalty obligations, provided the L&amp;T License is in effect. In addition, the Company entered into a sublicense agreement with HIP (the “HIP Sublicense Agreement”), obligating the Company to pay HIP a fee on an annual basis the greater of (i) 50% of royalties received under the L&amp;T License from H Halston products or (ii) guaranteed minimum royalties. Provided that Lord &amp; Taylor, LLC is paying the Company at least $1,000,000 per quarter under the L&amp;T License, the remaining contractually required guaranteed minimum royalties are equal to $0.75 million, $1.5 million, and $1.75 million for the twelve months ending January 31, 2019, 2020, and 2021, respectively.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12, 2016, the Company entered into another license agreement for the H Halston Brand with Dillard’s Inc and affiliates (the “Dillard’s License”, and together with the L&amp;T License, the “DRT Licenses”).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Through October 26, 2018, the Company was negotiating proposed new arrangements and operated under those terms as an at-will license as set forth below:</w:t>
      </w:r>
    </w:p>
    <w:p>
      <w:pPr>
        <w:spacing w:after="0" w:line="248" w:lineRule="exact"/>
        <w:rPr>
          <w:sz w:val="20"/>
          <w:szCs w:val="20"/>
          <w:color w:val="auto"/>
        </w:rPr>
      </w:pPr>
    </w:p>
    <w:p>
      <w:pPr>
        <w:jc w:val="both"/>
        <w:ind w:left="700" w:hanging="341"/>
        <w:spacing w:after="0" w:line="269"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HIP Trademark Usage and Royalty Participation Agreement, which has an initial term that expires on December 31, 2020 unless sooner terminated or renewed. We shall pay to HIP: (i) 50% of the excess H Halston Royalty paid to us under the DRT Licenses and any other third party licenses that we may enter into; (ii) 25% of the excess developed brand royalty paid to us for the Highline Collective Brand under the DRT Licenses, and 20% of the excess developed brand royalty paid to us for any subsequent developed brand under the DRT Licenses, and (iii) 10% of the excess private label brand royalty paid to us under the DRT Licenses and during the first term only of the DRT Licenses. Additionally, we have the right, but not the obligation, at any time after January 31, 2023, to terminate the obligations under points (ii) and (iii) above by paying to HIP an amount equal to four times the sum of the developed brand credits and private label credits for the contract year ending on January 31, 2023 (the "Buy Out Payment''). The Buy-Out Payment may be payable by us and at our sole discretion either (a) in cash, or (b) in a number of common shares of Xcel calculated based on the amount of the Buy-Out Payment divided by the average closing price for common shares of Xcel on a national exchange for the preceding five trading days, subject to a minimum price for common shares of Xcel of $7.00 per common share. Once effective, it will terminate and replace the HIP Sublicense Agreement.</w:t>
      </w:r>
    </w:p>
    <w:p>
      <w:pPr>
        <w:spacing w:after="0" w:line="182" w:lineRule="exact"/>
        <w:rPr>
          <w:rFonts w:ascii="Arial" w:cs="Arial" w:eastAsia="Arial" w:hAnsi="Arial"/>
          <w:sz w:val="17"/>
          <w:szCs w:val="17"/>
          <w:color w:val="auto"/>
        </w:rPr>
      </w:pPr>
    </w:p>
    <w:p>
      <w:pPr>
        <w:jc w:val="both"/>
        <w:ind w:left="700" w:hanging="341"/>
        <w:spacing w:after="0" w:line="271" w:lineRule="auto"/>
        <w:tabs>
          <w:tab w:leader="none" w:pos="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license and supply agreement with the Halston Operating Company, LLC (“HOC”), a subsidiary of HOH, with an initial term of January 31, 2022, subject to renewal. Under the HOC at-will license and supply agreement, HOC shall provide licensed products for sale to pre-approved retailers, including HBC and Dillard’s, and shall also be responsible for overseeing the visual merchandising and in-store retail environments for such approved retailers, as well as be responsible for training and oversight of any retail staff responsible for selling the licensed products within HBC and Dillard’s, as reasonably agreed upon between HOC and HBC and Dillard’s. The HOC at-will license and supply agreement provides for, among other things, design fees of $1.2 million for the period from July 1, 2017 through December 31, 2017, subsequent design fees of $2.4 million for the contractual periods ending on January 31, 2019, 2020, 2021, and 2022, respectively, and sales-based royalties on the categories of products licensed under the agreement and the contractual year of payment.</w:t>
      </w:r>
    </w:p>
    <w:p>
      <w:pPr>
        <w:spacing w:after="0" w:line="178" w:lineRule="exact"/>
        <w:rPr>
          <w:rFonts w:ascii="Arial" w:cs="Arial" w:eastAsia="Arial" w:hAnsi="Arial"/>
          <w:sz w:val="17"/>
          <w:szCs w:val="17"/>
          <w:color w:val="auto"/>
        </w:rPr>
      </w:pPr>
    </w:p>
    <w:p>
      <w:pPr>
        <w:ind w:left="700"/>
        <w:spacing w:after="0" w:line="277" w:lineRule="auto"/>
        <w:rPr>
          <w:rFonts w:ascii="Arial" w:cs="Arial" w:eastAsia="Arial" w:hAnsi="Arial"/>
          <w:sz w:val="17"/>
          <w:szCs w:val="17"/>
          <w:color w:val="auto"/>
        </w:rPr>
      </w:pPr>
      <w:r>
        <w:rPr>
          <w:rFonts w:ascii="Arial" w:cs="Arial" w:eastAsia="Arial" w:hAnsi="Arial"/>
          <w:sz w:val="18"/>
          <w:szCs w:val="18"/>
          <w:color w:val="auto"/>
        </w:rPr>
        <w:t>In addition, the Company and HOC entered into an arrangement whereby HOC pays the Company a license fee for branded products related to categories not included in the HOC license and supply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XCEL BRANDS,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26, 2018, the Company and HOH terminated the HIP License Agreement including all amendments, and the HIP Sublicense Agreement. In addition, the at-will license has been terminated and no longer in effect as of October 26, 2018.</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 The HOH license with the Company’s licensee terminated on October 26, 2018.</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recorded approximately $0.59 million and $0.19 million of revenue from HOC for the current quarter and the prior year quarter, respectively. The Company recorded approximately $1.81 million and $0.19 million of revenue from HOC for the current nine months and the prior nine months, respectively. The Company had a receivable balance of approximately $1.3 million and $0.8 million due from HOC as of September 30, 2018 and December 31, 2017, respectively. The $1.3 million receivable due from HOC includes $0.69 million of past due amounts.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recorded $0 and $9,000 of HIP fees (as a reduction to net revenue) for the current nine months and the prior nine months, respectively. There was no activity in either the current or prior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2018, the Company had a prepaid balance of $0.2 million to HIP to be applied against future fees due to HIP, which is recorded as a prepaid in other assets as of September 30, 2018.</w:t>
      </w:r>
    </w:p>
    <w:p>
      <w:pPr>
        <w:spacing w:after="0" w:line="166"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Facility Exit Costs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 The Company recorded a net non-cash charge of approximately $648,000 associated with the recognition of this liability in the second quarter of 2016.</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remaining balance of the exit cost liability related to the former office space was approximately $558,000 as of September 30, 2018, of which $244,000 was recorded in other current liabilities and $314,000 was recorded in other long-term liabilities in the accompanying unaudited condensed consolidated balance sheets. The balance of this liability will be paid out over a period of approximately 3.4 years, through February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related to the exit cost liability for the current and prior year nine months, is as follows: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Cash payments, net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Adjustment to liability (revision to estimated cash flows)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Accretion</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of Halston Agreement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Effective October 26, 2018, the Company and HOH terminated the HIP License Agreement including all amendments, the HIP Sublicense Agreement, and the at-will license has been terminated and no longer in effect. See Note 8, Related Party Transactions.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Safe Harbor Statement under the Private Securities Litigation Reform Act of 1995. </w:t>
      </w:r>
      <w:r>
        <w:rPr>
          <w:rFonts w:ascii="Arial" w:cs="Arial" w:eastAsia="Arial" w:hAnsi="Arial"/>
          <w:sz w:val="18"/>
          <w:szCs w:val="18"/>
          <w:color w:val="auto"/>
        </w:rPr>
        <w:t>The statements that are not historical facts contained in this report are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2017.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Xcel Brands, Inc. (“Xcel,” the “Company,” “we,” “us,” or “our”) is a media and consumer products company. We are engaged in the design, production, marketing, wholesale direct-to-consumer sales and licensing of branded apparel, footwear, accessories, jewelry, home goods, and other consumer products, and the acquisition of dynamic consumer lifestyle brands. We have developed a Fast-to-Market capability driven by our proprietary integrated technology platform. Currently, our brand portfolio consists of the Isaac Mizrahi, Judith Ripka, H Halston, C Wonder, and the Highline Collective brands. Our in-house designers and marketing executives work with our licensees to help design, promote, and elevate each brand within their respective distribution channels. We license our own brands for promotion and distribution through a ubiquitous-channel retail sales strategy, which includes promotion through interactive television, internet, and traditional brick-and-mortar retail channels.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objective is to build a diversified portfolio of lifestyle consumer brands through organic growth and the strategic acquisition of new brands. To achieve growth under our brands, we are focused on three primary strategies:</w:t>
      </w:r>
    </w:p>
    <w:p>
      <w:pPr>
        <w:spacing w:after="0" w:line="170" w:lineRule="exact"/>
        <w:rPr>
          <w:sz w:val="20"/>
          <w:szCs w:val="20"/>
          <w:color w:val="auto"/>
        </w:rPr>
      </w:pPr>
    </w:p>
    <w:p>
      <w:pPr>
        <w:ind w:left="700" w:hanging="341"/>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licensing our brands for distribution through interactive television (i.e. QVC, The Shopping Channel) whereby we design, manage production, merchandise the shows, and manage the on-air talent;</w:t>
      </w:r>
    </w:p>
    <w:p>
      <w:pPr>
        <w:spacing w:after="0" w:line="170" w:lineRule="exact"/>
        <w:rPr>
          <w:rFonts w:ascii="Arial" w:cs="Arial" w:eastAsia="Arial" w:hAnsi="Arial"/>
          <w:sz w:val="18"/>
          <w:szCs w:val="18"/>
          <w:color w:val="auto"/>
        </w:rPr>
      </w:pPr>
    </w:p>
    <w:p>
      <w:pPr>
        <w:ind w:left="700" w:hanging="341"/>
        <w:spacing w:after="0" w:line="308"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licensing our brands to manufacturers and retailers for promotion and distribution through e-commerce, social commerce, and traditional brick-and-mortar retail channels whereby we provide certain design services and, in certain cases, manage supply and merchandising; and</w:t>
      </w:r>
    </w:p>
    <w:p>
      <w:pPr>
        <w:spacing w:after="0" w:line="146" w:lineRule="exact"/>
        <w:rPr>
          <w:rFonts w:ascii="Arial" w:cs="Arial" w:eastAsia="Arial" w:hAnsi="Arial"/>
          <w:sz w:val="17"/>
          <w:szCs w:val="17"/>
          <w:color w:val="auto"/>
        </w:rPr>
      </w:pPr>
    </w:p>
    <w:p>
      <w:pPr>
        <w:ind w:left="700" w:right="20" w:hanging="341"/>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entering into strategic supply agreements directly with overseas factories for distribution to our retail partners and through our own wholesales and direct-to-consumer e-commerce sites.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Xcel’s business platforms offer a unique value proposition to its retail partners, licensees and customers for the following reasons:</w:t>
      </w:r>
    </w:p>
    <w:p>
      <w:pPr>
        <w:spacing w:after="0" w:line="237" w:lineRule="exact"/>
        <w:rPr>
          <w:sz w:val="20"/>
          <w:szCs w:val="20"/>
          <w:color w:val="auto"/>
        </w:rPr>
      </w:pPr>
    </w:p>
    <w:p>
      <w:pPr>
        <w:ind w:left="700" w:hanging="34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Fast-to-Market supply chain and integrated technology platform enables us to design and distribute trend-right product;</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operating strategy of licensing brands with significant media presence and driving sales through our ubiquitous-channel retail sales strategy; and</w:t>
      </w:r>
    </w:p>
    <w:p>
      <w:pPr>
        <w:spacing w:after="0" w:line="248" w:lineRule="exact"/>
        <w:rPr>
          <w:rFonts w:ascii="Arial" w:cs="Arial" w:eastAsia="Arial" w:hAnsi="Arial"/>
          <w:sz w:val="16"/>
          <w:szCs w:val="16"/>
          <w:color w:val="auto"/>
        </w:rPr>
      </w:pPr>
    </w:p>
    <w:p>
      <w:pPr>
        <w:ind w:left="700" w:hanging="341"/>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provide retail licensees with design and Fast-to-Market vertical production capabilities.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license our brands to third parties, provide certain design, production, marketing and distribution services, and generate licensing, design, and service fee revenues through contractual arrangements with manufacturers and retailers. This includes licensing our own brands for promotion and distribution through a ubiquitous-channel retail sales strategy, which includes distribution through interactive television, the internet, and traditional brick-and-mortar retail channels. In connection with the launch of our Judith Ripka brand e-commerce business, in January 2018, we transitioned our jewelry business from a traditional license to a wholesale brick-and-mortar business. Beginning in the fourth quarter of 2018 we transitioned our Fast-to-Market production platform (department store business) from a license model to a wholesale model. Our strategy is to utilize back-to-back sales and purchase orders, requiring minimal working capital with little inventory risk.</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that our strategy distinguishes us from other consumer product wholesale companies and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multiple distribution channels.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interactive television companies and cable networks enable us to reach consumers in over 400 million homes worldwide and hundreds of millions of social media followers.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our Fast-to-Market production platform provides significant competitive advantages compared with traditional wholesale apparel companies that design, manufacture, and distribute products. We focus on our core competencies of design, integrated technologies, Fast-to-Market production, marketing, and brand development, while outsourcing manufacturing to best-in-class manufacturers and retailers. We believe that we offer 360 degrees of service for a comprehensive solution for our retail partners that addresses many of the challenges facing the retail industry today.</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our business platforms are highly scalable due to our business model’s low overhead and working capital requirements. Additionally, we believe we can quickly integrate additional brands into our platforms leveraging our design, production, marketing capabilities, and distribution relationships.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three months ended September 30, 2018 (the “current quarter”) compared with the three months ended September 30, 2017 (the “prior year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 quarter total revenue increased approximately $0.38 million to $8.27 million from $7.89 million for the prior year quarter. Our jewelry wholesale and e-commerce sales contributed approximately $0.44 million to the overall increase in total revenue in the current quarter. Net licensing revenue decreased approximately $0.07 million to $7.82 million in the current quarter compared to $7.89 million in the prior year quarter as higher licensing revenue from our ongoing interactive business was primarily offset by lower revenue of $0.19 million associated with the termination and transition of the C Wonder Brand from QVC, whose sell-off period terminated in January 2018. Current quarter net revenue increased approximately $0.15 million to $8.04 million from $7.89 million for the prior year quarter. Net revenue consisted of total revenues less cost of goods sold from product sales. Net revenue for our jewelry wholesale and e-commerce business was $.21 million and $0 in the current and prior year quarter,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Operating costs and expenses increased approximately $0.01 million to $6.64 million for the current quarter from approximately $6.63 million in the prior year quarter. This increase was primarily attributable to a decrease in total compensation, including stock-based compensation, of approximately $0.51 million offset primarily by an increase in other design and marketing costs of approximately $.35 million primarily due to costs associated with the continued development and expansion of our department store business, an increase in other selling and general and administrative costs of $0.09 and an increase in depreciation and amortization of $0.07 million, attributable to increased property and equipment capital expenditures compared to the prior year quarter.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Interest and finance expense for the current quarter decreased by approximately $.06 million to $.26 million, compared with $0.31 million in the prior year quarter. This decrease was primarily attributable to lower interest expense of $0.05 million on our term debt due to a lower principal balance.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current quarter the federal statutory rate differs from the effective tax rate primarily due state taxes and recurring permanent differences, which increased (decreased) the effective tax rate by approximately 3.64% and (11.15%), respectively. The effective tax rate was also attributable to the tax impact from the vesting of restricted common stock, which was treated as a discrete item for tax purposes. This item increased the effective tax rate by .34%. The decrease in the effective tax rate in the current quarter related to recurring permanent differences is due to the favorable treatment of performance based compensation as enacted under the Tax Cuts and Jobs Act (“TCJA”) and subsequent guidance published by the Internal Revenue Service (“IRS”) on August 21, 2018.</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prior year quarter, the effective tax rate was primarily attributable to recurring permanent differences. Based on the amount of income before income taxes compared to the recurring permanent differences, the effective tax rate increased by approximately 34% for the current quarter and by approximately 33% for the prior year nine months.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spacing w:after="0" w:line="289" w:lineRule="auto"/>
        <w:rPr>
          <w:sz w:val="20"/>
          <w:szCs w:val="20"/>
          <w:color w:val="auto"/>
        </w:rPr>
      </w:pPr>
      <w:r>
        <w:rPr>
          <w:rFonts w:ascii="Arial" w:cs="Arial" w:eastAsia="Arial" w:hAnsi="Arial"/>
          <w:sz w:val="16"/>
          <w:szCs w:val="16"/>
          <w:color w:val="auto"/>
        </w:rPr>
        <w:t>On December 22, 2017 the SEC staff issued Staff Accounting Bulletin (“SAB”) No. 118, which provides guidance on accounting for the tax effects of the Tax Cuts and Job Act ("TCJA"). The purpose of SAB No. 118 was to address any uncertainty or diversity of view in applying ASC Topic 740, Income Taxes in the reporting period in which the TCJA was enacted. SAB No. 118 addresses situations where the accounting is incomplete for certain income tax effects of the TJCA upon issuance of a company’s financial statements for the reporting period that includes the enactment date. SAB No. 118 allows for a provisional amount to be recorded if it is a reasonable estimate of the impact of the TCJA. Additionally, SAB No. 118 allows for a measurement period to finalize the impacts of the TCJA, not to extend beyond one year from the date of enactment. The Company’s accounting for certain elements of the TCJA was incomplete as of the period ended December 31, 2017, and remains incomplete as of September 30, 2018. However, the Company was able to make reasonable estimates of the effects and, therefore, recorded provisional estimates for these items at December 31, 2017. There have been no changes to the provisional estimates recorded as of December 31, 2017 during the three and nine months ended September 30,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had net income of $.98 million for the current quarter, compared to net income of $0.25 million for the prior year quarter.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had non-GAAP net income of approximately $1.6 million, or $0.09 per diluted share (“non-GAAP diluted EPS”) for each of the current and prior year quarter. Non-GAAP net income is a non-GAAP unaudited term, which we define as net income, exclusive of stock-based compensation, non-cash interest and finance expense from discounted debt related to acquired assets, and deferred tax provision. Non-GAAP net income and non-GAAP diluted EPS measures do not include the tax effect of the aforementioned adjusting items, due to the nature of these items and the Company’s tax strategy.</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had Adjusted EBITDA of $2.33 million for the current quarter, compared with Adjusted EBITDA of $2.36 million for the prior year quarter. Adjusted EBITDA is a non-GAAP unaudited measure, which we define as net income before stock-based compensation, interest and finance expense, income taxes, other state and local franchise taxes, and depreciation and amortization.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non-GAAP net income: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Three Months Ended September 30,</w:t>
            </w: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provision</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diluted earnings per share (our most directly comparable financial measure presented in accordance with GAAP) to non-GAAP diluted EPS: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80" w:type="dxa"/>
            <w:vAlign w:val="bottom"/>
            <w:gridSpan w:val="6"/>
          </w:tcPr>
          <w:p>
            <w:pPr>
              <w:ind w:left="160"/>
              <w:spacing w:after="0"/>
              <w:rPr>
                <w:sz w:val="20"/>
                <w:szCs w:val="20"/>
                <w:color w:val="auto"/>
              </w:rPr>
            </w:pPr>
            <w:r>
              <w:rPr>
                <w:rFonts w:ascii="Arial" w:cs="Arial" w:eastAsia="Arial" w:hAnsi="Arial"/>
                <w:sz w:val="18"/>
                <w:szCs w:val="18"/>
                <w:b w:val="1"/>
                <w:bCs w:val="1"/>
                <w:color w:val="auto"/>
                <w:w w:val="98"/>
              </w:rPr>
              <w:t>Three Months Ended September 30,</w:t>
            </w: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provision</w:t>
            </w:r>
          </w:p>
        </w:tc>
        <w:tc>
          <w:tcPr>
            <w:tcW w:w="16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6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Three Months Ended 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140"/>
              <w:spacing w:after="0"/>
              <w:rPr>
                <w:sz w:val="20"/>
                <w:szCs w:val="20"/>
                <w:color w:val="auto"/>
              </w:rPr>
            </w:pPr>
            <w:r>
              <w:rPr>
                <w:rFonts w:ascii="Arial" w:cs="Arial" w:eastAsia="Arial" w:hAnsi="Arial"/>
                <w:sz w:val="18"/>
                <w:szCs w:val="18"/>
                <w:b w:val="1"/>
                <w:bCs w:val="1"/>
                <w:color w:val="auto"/>
              </w:rPr>
              <w:t>($ in thousands)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 provision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w:t>
            </w:r>
          </w:p>
        </w:tc>
        <w:tc>
          <w:tcPr>
            <w:tcW w:w="2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20" w:type="dxa"/>
            <w:vAlign w:val="bottom"/>
            <w:vMerge w:val="restart"/>
          </w:tcPr>
          <w:p>
            <w:pPr>
              <w:jc w:val="right"/>
              <w:ind w:right="109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The nine months ended September 30, 2018 (the “current nine months”) compared with the nine months ended September 30, 2017 (the “prior year nine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Current nine months total revenue increased approximately $0.83 million to $25.52 million from $24.69 million for the prior year nine months. Our jewelry wholesale and e-commerce sales contributed $1.08 million to the overall increase in total revenues in the current nine months. Our net licensing revenue decreased approximately $0.24 million to $24.45 million in the current nine months compared to $24.69 million in the prior year nine months as higher licensing revenue from our ongoing interactive business and wholesale and department store business were offset by lower revenue of $0.87 million associated with the termination and transition of the C Wonder Brand from QVC, whose sell-off period terminated in January 2018. Current nine months net revenue increased approximately $0.19 million to $24.88 million from $24.69 million for the prior year nine months. Net revenue for our jewelry wholesale and e-commerce business was $0.44 million and $0 in the current and prior year nine months,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costs and expenses decreased approximately $0.90 million to $20.98 million for the current nine months from approximately $21.88 million in the prior year nine months. This decrease was primarily attributable to a decrease in total compensation, including stock-based compensation, of approximately $1.53 million, partially offset primarily by an increase in depreciation and amortization of $0.15 million, attributable to increased property and equipment capital expenditures compared to the prior year nine months, an increase in other design and marketing costs of approximately $0.39 million and increase to other selling and general and administrative costs of $0.09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Interest and finance expense for the current nine months decreased by approximately $0.23 million to $0.81 million, compared with $1.04 million in the prior year nine months. This decrease was primarily attributable to lower interest expense of $0.23 million on our term debt due to a lower principal balance.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the current nine-month period the federal statutory rate differs from the effective tax rate primarily due to state taxes and recurring permanent differences, which increased the effective tax rate by approximately 9.49% and 4.75%, respectively. The effective tax rate was also attributable to the tax impact from the vesting of restricted common stock, which was treated as a discrete item for tax purposes. This item increased the effective tax rate by 20.37%. The decrease in the effective tax rate in the current quarter related to recurring permanent differences is due to the favorable treatment of performance based compensation as enacted under the Tax Cuts and Jobs Act (“TCJA”) and subsequent guidance published by the Internal Revenue Service (“IRS”) on August 21, 2018.</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prior year nine months, the effective tax rate was primarily attributable to recurring permanent differences. Based on the amount of income before income taxes compared to the recurring permanent differences, the effective tax rate increased by approximately and 33%. The effective tax rate was also impacted by the tax impact from the vesting of restricted shares of common stock. The excess tax deficiencies were treated as a discrete item for tax as required by ASU 2016-09, “Improvements to Employee Share-Based Payment Accounting.” This item increased the effective rate by 30% for the prior year nine months, respectively.</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22, 2017 the SEC staff issued Staff Accounting Bulletin (“SAB”) No. 118, which provides guidance on accounting for the tax effects of the Tax Cuts and Job Act ("TCJA"). The purpose of SAB No. 118 was to address any uncertainty or diversity of view in applying ASC Topic 740, “Income Taxes,” in the reporting period in which the TCJA was enacted. SAB No. 118 addresses situations where the accounting is incomplete for certain income tax effects of the TJCA upon issuance of a company’s financial statements for the reporting period that includes the enactment date. SAB No. 118 allows for a provisional amount to be recorded if it is a reasonable estimate of the impact of the TCJA. Additionally, SAB No. 118 allows for a measurement period to finalize the impacts of the TCJA, not to extend beyond one year from the date of enactment. The Company’s accounting for the certain elements of the TCJA was incomplete as of the period ended December 31, 2017, and remains incomplete as of September 30, 2018. However, the Company was able to make reasonable estimates of the effects and, therefore, recorded provisional estimates for these items at December 31, 2017. There have been no changes to the provisional estimates recorded as of December 31, 2017 during the three and nine months ended September 30,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had net income of $1.37 million for the current nine months, compared to net income of $0.07 million for the prior year nine months.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non-GAAP net income of $4.53 million, or $0.25 per diluted share (“non-GAAP diluted EPS”) for the current nine months, compared with non-GAAP net income of $4.29 million, or non-GAAP diluted EPS of $0.22 for the prior year nine months. The Company had Adjusted EBITDA of $6.71 million for the current nine months, compared with Adjusted EBITDA of $6.56 million for the prior year nine months.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non-GAAP net income: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 in thousands)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provision</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diluted earnings per share (our most directly comparable financial measure presented in accordance with GAAP) to non-GAAP diluted EPS: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80" w:type="dxa"/>
            <w:vAlign w:val="bottom"/>
            <w:gridSpan w:val="6"/>
          </w:tcPr>
          <w:p>
            <w:pPr>
              <w:ind w:left="20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provision</w:t>
            </w:r>
          </w:p>
        </w:tc>
        <w:tc>
          <w:tcPr>
            <w:tcW w:w="16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16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is a reconciliation of net income (our most directly comparable financial measure presented in accordance with GAAP) to Adjusted EBITDA: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Nine Months Ended September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gridSpan w:val="2"/>
          </w:tcPr>
          <w:p>
            <w:pPr>
              <w:ind w:left="1140"/>
              <w:spacing w:after="0"/>
              <w:rPr>
                <w:sz w:val="20"/>
                <w:szCs w:val="20"/>
                <w:color w:val="auto"/>
              </w:rPr>
            </w:pPr>
            <w:r>
              <w:rPr>
                <w:rFonts w:ascii="Arial" w:cs="Arial" w:eastAsia="Arial" w:hAnsi="Arial"/>
                <w:sz w:val="18"/>
                <w:szCs w:val="18"/>
                <w:b w:val="1"/>
                <w:bCs w:val="1"/>
                <w:color w:val="auto"/>
              </w:rPr>
              <w:t>($ in thousands)</w:t>
            </w: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finance expense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Income tax provision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1,717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franchise taxes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w:t>
            </w:r>
          </w:p>
        </w:tc>
        <w:tc>
          <w:tcPr>
            <w:tcW w:w="2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20" w:type="dxa"/>
            <w:vAlign w:val="bottom"/>
            <w:vMerge w:val="restart"/>
          </w:tcPr>
          <w:p>
            <w:pPr>
              <w:jc w:val="right"/>
              <w:ind w:right="10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At September 30, 2018 and December 31, 2017, our cash and cash equivalents were $8.64 million and $10.19 million,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cash at September 30, 2018 and December 31, 2017 consisted of (i) $1.11 million of cash deposited with Bank Hapoalim B.M. (“BHI”) as collateral for an irrevocable standby letter of credit associated with the lease of our current corporate office and operating facilities at 1333 Broadway, New York City, and (ii) $0.40 million of cash held as a security deposit for the sublease of our former corporate offices at 475 Tenth Avenue, New York City by us to a third-party subtenant.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expect that existing cash and operating cash flows will be adequate to meet our operating needs, debt service obligations (including debt service for our term debt), and capital expenditure needs, for at least the twelve months subsequent to the filing date of this Quarterly Report on Form 10-Q.</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dependent on our licensees for most of our revenues, and there is no assurance that the licensees will perform as projected. Our business operating model does not require significant capital expenditures.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contingent obligation related to the C Wonder Brand (see Note 4, Debt in the Unaudited Condensed Consolidated Financial Statements) would be payable in stock or cash, at the Company’s discretion. Payment of this obligation in stock would not affect our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working capital (current assets less current liabilities, excluding contingent obligations payable in common stock) was $11.23 million and $10.20 million as of September 30, 2018 and December 31, 2017, respectively. Commentary on the components of our cash flows for the current quarter as compared with the prior year quarter is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approximately $4.71 million in the current nine months, compared with net cash provided by operating activities of approximately $2.33 million in the prior year nine months.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nine months cash provided by operating activities was primarily attributable to the combination of net income of $1.37 million plus non-cash expenses of approximately $4.62 million and net change in operating assets and liabilities of approximately $(1.27) million. Non-cash net expenses mainly consisted of $1.72 million of deferred income tax provision, $1.42 million of stock-based compensation, $1.32 million of depreciation and amortization, and non-cash interest and other finance costs of $.16 million. The net change in operating assets and liabilities includes a net increase in accounts receivable of $1.11 million, an increase in accounts payable, accrued expenses and other current liabilities of $0.97 million, all primarily due to timing of collections and payments, an increase in inventory attributable to our jewelry wholesale and e-commerce operations of approximately $0.92 million, and a decrease in other liabilities of $0.15 million attributable to accrued rent.</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prior year nine months cash provided by operating activities was primarily attributable to the combination of net income of $0.07 million and non-cash expenses of approximately $5.54 million, partially offset by the net change in operating assets and liabilities of approximately $(3.28) million. Non-cash expenses mainly consisted of $2.50 million of stock-based compensation, $1.70 million of deferred income tax provision, $1.17 million of depreciation and amortization, and $0.17 million of amortization of debt discount and deferred finance costs. The net change in operating assets and liabilities includes a net increase in accounts receivable of $2.55 million, a decrease in accounts payable, accrued expenses and other current liabilities of $1.24 million, primarily attributable to bonus payouts and overall timing of payments, and an increase in other liabilities of $0.46 million primarily due to deferred rent related to the lease of our corporate office and operations facility.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Net cash used in investing activities for the current nine months was approximately $1.1 million, compared with approximately $0.19 million in the prior year nine months. Cash used in investing activities for both the current and prior year quarter was primarily attributable to capital expenditures.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current nine months was approximately $5.16 million, attributable to payments on our senior term debt obligation of $3.00 million, payment on our IM Seller Note obligation of approximately $1.5 million, and shares repurchased related to vested restricted stock in exchange for withholding taxes of $0.70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prior year nine months was approximately $8.00 million, primarily attributable to payments on our senior term debt obligation of $5.75 million, payment on our IM Seller Note obligation of $1.43 million, and shares repurchased related to vested restricted stock in exchange for withholding taxes of $0.81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2017, we entered into an agreement with QVC to terminate our interactive television license agreement for the C Wonder brand, under which QVC remained obligated to pay royalties to us through January 2018, and QVC retained exclusive rights with respect to C Wonder branded products for interactive television, excluding certain permitted international entities, through May 2018. We have licensed several categories for C Wonder and expect to launch C Wonder in Asia later this year. In addition, we are pursuing new domestic distribution channels and have entered into new contractual agreements for the C Wonder brand.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2016, we brought the IMNYC Isaac Mizrahi, H Halston, and Highline Collective brands to Lord &amp; Taylor and Hudson’s Bay department stores through our Fast-to-Market production platform, “virtual vertical”. We launched the H Halston brand at Dillard’s department stores through our Fast-to-Market production platform in March 2017 and launched the IMNYC brand at Dillard’s in September 2017. In addition to launching a wholesale and e-commerce business with our Judith Ripka brand, we transitioned our department store business to a wholesale model from a licensing model. Our strategy is to manage our working capital needs by utilizing back-to-back sales and purchase orders and minimizing inventory risk. This change should increase our total and net revenues as compared to the licensing model.</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continue to seek new opportunities, including expansion through interactive television, our “virtual vertical” production platform, additional domestic and international licensing arrangements, and acquiring additional brands.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however, will still remain largely dependent on our ability to build and maintain our brands’ awareness and contracts with and retain key licensees and retail relationships, as well as both our, and our licensees’ ability to accurately predict upcoming fashion and design trends within our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2017, filed with the SEC on March 30, 2018, for a discussion of our critical accounting policies. During the nine months ended September 30, 2018, there were no material changes to these policies.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smaller reporting companies.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September 30, 2018, the end of the period covered by this report. Based on, and as of the date of such evaluation, the Chief Executive Officer and the Chief Financial Officer have concluded that our disclosure controls and procedures were effective as of September 30, 2018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not been any significant changes in our internal control over financial reporting (as defined in Rules 13a-15(f) and 15d-15(f) under the Exchange Act) during the fiscal quarter ended September 30, 2018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Risk Factors set forth in Part I, Item 1A, “Risk Factors” of our Annual Report on Form 10-K for the year ended December 31, 2017, set forth below are certain factors which could affect our financial condition and operating results. We operate in a highly competitive industry that involves numerous known and unknown risks and uncertainties that could impact our operations. The risks described in Part I, Item 1A, “Risk Factors” of our Annual Report on Form 10-K for the year ended December 31, 2017 are not the only risks we face. Additional risks and uncertainties not currently known to us or that we currently deem to be immaterial also may materially adversely affect our financial condition and/or operating results.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transition of our Judith Ripka wholesale license business and Fast-to-Market production platform (department store business) to a wholesale model will expose us to risks relating to carrying inventory.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inventory increased from $0 at December 31, 2017 to $0.92 million at September 31, 2018 as we transitioned Judith Ripka wholesale license business our from a license model to a wholesale and e-commerce model. Separately we transitioned our Fast-to-Market production platform (department store business) from a license model to a wholesale model. Although our strategy for our Fast-to-Market production platform is to utilize back-to-back sales and purchase orders, requiring minimal inventory risk and working capital requirements, several factors outside our control could cause our inventory levels to fluctuate in the future, such as our inability to obtain sufficient sales and production orders, customer defaults on their purchase obligations or decreases in mall traffic, closing of retail locations which sell our products, changes in consumer fashion or other purchasing trends or economic downturns resulting in slower sell-through of our products. Increases in inventory could adversely affect our cash flows and could result in write-off of obsolete inventory which would adversely affect our operations.</w:t>
      </w:r>
    </w:p>
    <w:p>
      <w:pPr>
        <w:spacing w:after="0" w:line="200" w:lineRule="exact"/>
        <w:rPr>
          <w:sz w:val="20"/>
          <w:szCs w:val="20"/>
          <w:color w:val="auto"/>
        </w:rPr>
      </w:pP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sales of unregistered or registered securities during the nine months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with respect to shares of common stock we repurchased during the nine months ended September 30, 2018:</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Period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1, 2018 to March 31, 2018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 2018 to April 30, 2018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 2018 to May 31, 2018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Total Number</w:t>
            </w:r>
          </w:p>
        </w:tc>
      </w:t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5"/>
              </w:rPr>
              <w:t>of Shares</w:t>
            </w:r>
          </w:p>
        </w:tc>
      </w:t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Purchased as</w:t>
            </w:r>
          </w:p>
        </w:tc>
      </w:tr>
      <w:tr>
        <w:trPr>
          <w:trHeight w:val="216"/>
        </w:trPr>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Part of a</w:t>
            </w:r>
          </w:p>
        </w:tc>
      </w:tr>
      <w:tr>
        <w:trPr>
          <w:trHeight w:val="216"/>
        </w:trPr>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Publicly</w:t>
            </w:r>
          </w:p>
        </w:tc>
      </w:tr>
      <w:tr>
        <w:trPr>
          <w:trHeight w:val="216"/>
        </w:trPr>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of</w:t>
            </w: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Announced</w:t>
            </w:r>
          </w:p>
        </w:tc>
      </w:tr>
      <w:tr>
        <w:trPr>
          <w:trHeight w:val="216"/>
        </w:trPr>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 per</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Plan or</w:t>
            </w:r>
          </w:p>
        </w:tc>
      </w:tr>
      <w:tr>
        <w:trPr>
          <w:trHeight w:val="234"/>
        </w:trPr>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Purchased</w:t>
            </w:r>
          </w:p>
        </w:tc>
        <w:tc>
          <w:tcPr>
            <w:tcW w:w="18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Share</w:t>
            </w:r>
          </w:p>
        </w:tc>
        <w:tc>
          <w:tcPr>
            <w:tcW w:w="12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Program</w:t>
            </w:r>
          </w:p>
        </w:tc>
      </w:tr>
      <w:tr>
        <w:trPr>
          <w:trHeight w:val="195"/>
        </w:trPr>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43,638</w:t>
            </w: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3.25</w:t>
            </w:r>
          </w:p>
        </w:tc>
        <w:tc>
          <w:tcPr>
            <w:tcW w:w="200" w:type="dxa"/>
            <w:vAlign w:val="bottom"/>
          </w:tcPr>
          <w:p>
            <w:pPr>
              <w:spacing w:after="0"/>
              <w:rPr>
                <w:sz w:val="16"/>
                <w:szCs w:val="16"/>
                <w:color w:val="auto"/>
              </w:rPr>
            </w:pP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r>
      <w:tr>
        <w:trPr>
          <w:trHeight w:val="230"/>
        </w:trPr>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181,486</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3.09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225,231</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-325120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-608330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904" w:right="239" w:bottom="1440" w:gutter="0" w:footer="0" w:header="0"/>
          <w:type w:val="continuous"/>
        </w:sectPr>
      </w:pPr>
    </w:p>
    <w:p>
      <w:pPr>
        <w:spacing w:after="0" w:line="2" w:lineRule="exact"/>
        <w:rPr>
          <w:sz w:val="20"/>
          <w:szCs w:val="20"/>
          <w:color w:val="auto"/>
        </w:rPr>
      </w:pPr>
    </w:p>
    <w:p>
      <w:pPr>
        <w:ind w:left="360" w:right="20" w:hanging="352"/>
        <w:spacing w:after="0" w:line="277"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stock grants.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8" w:name="page29"/>
    <w:bookmarkEnd w:id="28"/>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herewith:</w:t>
      </w:r>
    </w:p>
    <w:p>
      <w:pPr>
        <w:spacing w:after="0" w:line="225" w:lineRule="exact"/>
        <w:rPr>
          <w:sz w:val="20"/>
          <w:szCs w:val="20"/>
          <w:color w:val="auto"/>
        </w:rPr>
      </w:pPr>
    </w:p>
    <w:p>
      <w:pPr>
        <w:ind w:left="66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31.1 Rule 13a-14(a)/15d-14(a) Certification (CEO)</w:t>
        </w:r>
      </w:hyperlink>
    </w:p>
    <w:p>
      <w:pPr>
        <w:spacing w:after="0" w:line="23" w:lineRule="exact"/>
        <w:rPr>
          <w:sz w:val="20"/>
          <w:szCs w:val="20"/>
          <w:color w:val="auto"/>
        </w:rPr>
      </w:pPr>
    </w:p>
    <w:p>
      <w:pPr>
        <w:ind w:left="6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31.2 Rule 13a-14(a)/15d-14(a) Certification (CFO)</w:t>
        </w:r>
      </w:hyperlink>
    </w:p>
    <w:p>
      <w:pPr>
        <w:spacing w:after="0" w:line="9" w:lineRule="exact"/>
        <w:rPr>
          <w:sz w:val="20"/>
          <w:szCs w:val="20"/>
          <w:color w:val="auto"/>
        </w:rPr>
      </w:pPr>
    </w:p>
    <w:p>
      <w:pPr>
        <w:ind w:left="66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32.1 Section 1350 Certification (CEO)</w:t>
        </w:r>
      </w:hyperlink>
    </w:p>
    <w:p>
      <w:pPr>
        <w:spacing w:after="0" w:line="9" w:lineRule="exact"/>
        <w:rPr>
          <w:sz w:val="20"/>
          <w:szCs w:val="20"/>
          <w:color w:val="auto"/>
        </w:rPr>
      </w:pPr>
    </w:p>
    <w:p>
      <w:pPr>
        <w:ind w:left="6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32.2 Section 1350 Certification (CFO)</w:t>
        </w:r>
      </w:hyperlink>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101.INS XBRL Instance Document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101.CAL XBRL Taxonomy Extension Calculation Linkbase Document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101.DEF XBRL Taxonomy Extension Definitions Linkbase Document</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101.PRE XBRL Taxonomy Extension Presentation Linkbase Document</w:t>
      </w: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November 14, 2018</w:t>
            </w:r>
          </w:p>
        </w:tc>
        <w:tc>
          <w:tcPr>
            <w:tcW w:w="3680" w:type="dxa"/>
            <w:vAlign w:val="bottom"/>
          </w:tcPr>
          <w:p>
            <w:pPr>
              <w:ind w:left="31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37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37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760" w:type="dxa"/>
            <w:vAlign w:val="bottom"/>
          </w:tcPr>
          <w:p>
            <w:pPr>
              <w:spacing w:after="0"/>
              <w:rPr>
                <w:sz w:val="24"/>
                <w:szCs w:val="24"/>
                <w:color w:val="auto"/>
              </w:rPr>
            </w:pPr>
          </w:p>
        </w:tc>
        <w:tc>
          <w:tcPr>
            <w:tcW w:w="3680" w:type="dxa"/>
            <w:vAlign w:val="bottom"/>
          </w:tcPr>
          <w:p>
            <w:pPr>
              <w:ind w:left="31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37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37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48"/>
        </w:trPr>
        <w:tc>
          <w:tcPr>
            <w:tcW w:w="37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color w:val="auto"/>
              </w:rPr>
              <w:t>30</w:t>
            </w: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2018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November 14, 2018</w:t>
            </w:r>
          </w:p>
        </w:tc>
        <w:tc>
          <w:tcPr>
            <w:tcW w:w="3280" w:type="dxa"/>
            <w:vAlign w:val="bottom"/>
          </w:tcPr>
          <w:p>
            <w:pPr>
              <w:ind w:left="27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4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4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4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2018 of Xcel Brands, Inc. (the “Company”).</w:t>
      </w:r>
    </w:p>
    <w:p>
      <w:pPr>
        <w:spacing w:after="0" w:line="225" w:lineRule="exact"/>
        <w:rPr>
          <w:rFonts w:ascii="Arial" w:cs="Arial" w:eastAsia="Arial" w:hAnsi="Arial"/>
          <w:sz w:val="18"/>
          <w:szCs w:val="18"/>
          <w:color w:val="auto"/>
        </w:rPr>
      </w:pPr>
    </w:p>
    <w:p>
      <w:pPr>
        <w:jc w:val="both"/>
        <w:ind w:firstLine="8"/>
        <w:spacing w:after="0" w:line="264" w:lineRule="auto"/>
        <w:tabs>
          <w:tab w:leader="none" w:pos="1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firstLine="8"/>
        <w:spacing w:after="0" w:line="308" w:lineRule="auto"/>
        <w:tabs>
          <w:tab w:leader="none" w:pos="181"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jc w:val="both"/>
        <w:ind w:firstLine="8"/>
        <w:spacing w:after="0" w:line="264" w:lineRule="auto"/>
        <w:tabs>
          <w:tab w:leader="none" w:pos="19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277" w:lineRule="auto"/>
        <w:tabs>
          <w:tab w:leader="none" w:pos="197"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0" w:lineRule="exact"/>
        <w:rPr>
          <w:sz w:val="20"/>
          <w:szCs w:val="20"/>
          <w:color w:val="auto"/>
        </w:rPr>
      </w:pPr>
    </w:p>
    <w:p>
      <w:pPr>
        <w:ind w:firstLine="8"/>
        <w:spacing w:after="0" w:line="277" w:lineRule="auto"/>
        <w:tabs>
          <w:tab w:leader="none" w:pos="2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19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November 14, 2018</w:t>
            </w:r>
          </w:p>
        </w:tc>
        <w:tc>
          <w:tcPr>
            <w:tcW w:w="3280" w:type="dxa"/>
            <w:vAlign w:val="bottom"/>
          </w:tcPr>
          <w:p>
            <w:pPr>
              <w:ind w:left="27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4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4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4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2018 as filed with the Securities and Exchange Commission on the date hereof (the “Report”), I, Robert W. D’Loren,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November 14, 2018</w:t>
            </w:r>
          </w:p>
        </w:tc>
        <w:tc>
          <w:tcPr>
            <w:tcW w:w="3280" w:type="dxa"/>
            <w:vAlign w:val="bottom"/>
          </w:tcPr>
          <w:p>
            <w:pPr>
              <w:ind w:left="27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4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Robert W. D’Loren</w:t>
            </w:r>
          </w:p>
        </w:tc>
      </w:tr>
      <w:tr>
        <w:trPr>
          <w:trHeight w:val="230"/>
        </w:trPr>
        <w:tc>
          <w:tcPr>
            <w:tcW w:w="4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Chairman and Chief Executive Officer</w:t>
            </w:r>
          </w:p>
        </w:tc>
      </w:tr>
      <w:tr>
        <w:trPr>
          <w:trHeight w:val="675"/>
        </w:trPr>
        <w:tc>
          <w:tcPr>
            <w:tcW w:w="4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Xcel Brands, Inc. (the “Company”) on Form 10-Q for the period ended September 30, 2018 as filed with the Securities and Exchange Commission on the date hereof (the “Report”), I, James Haran, certify, pursuant to 18 U.S.C. Section 1350, as adopted pursuant to Section 906 of the Sarbanes-Oxley Act of 2002, that, to my knowledge:</w:t>
      </w:r>
    </w:p>
    <w:p>
      <w:pPr>
        <w:spacing w:after="0" w:line="181"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November 14, 2018</w:t>
            </w:r>
          </w:p>
        </w:tc>
        <w:tc>
          <w:tcPr>
            <w:tcW w:w="3280" w:type="dxa"/>
            <w:vAlign w:val="bottom"/>
          </w:tcPr>
          <w:p>
            <w:pPr>
              <w:ind w:left="27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Haran</w:t>
            </w:r>
          </w:p>
        </w:tc>
      </w:tr>
      <w:tr>
        <w:trPr>
          <w:trHeight w:val="195"/>
        </w:trPr>
        <w:tc>
          <w:tcPr>
            <w:tcW w:w="41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James Haran</w:t>
            </w:r>
          </w:p>
        </w:tc>
      </w:tr>
      <w:tr>
        <w:trPr>
          <w:trHeight w:val="230"/>
        </w:trPr>
        <w:tc>
          <w:tcPr>
            <w:tcW w:w="41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Financial Officer and Vice President</w:t>
            </w:r>
          </w:p>
        </w:tc>
      </w:tr>
      <w:tr>
        <w:trPr>
          <w:trHeight w:val="675"/>
        </w:trPr>
        <w:tc>
          <w:tcPr>
            <w:tcW w:w="41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5"/>
    </w:lvl>
  </w:abstractNum>
  <w:abstractNum w:abstractNumId="9">
    <w:nsid w:val="431BD7B7"/>
    <w:multiLevelType w:val="hybridMultilevel"/>
    <w:lvl w:ilvl="0">
      <w:lvlJc w:val="left"/>
      <w:lvlText w:val="%1."/>
      <w:numFmt w:val="decimal"/>
      <w:start w:val="6"/>
    </w:lvl>
  </w:abstractNum>
  <w:abstractNum w:abstractNumId="10">
    <w:nsid w:val="3F2DBA31"/>
    <w:multiLevelType w:val="hybridMultilevel"/>
    <w:lvl w:ilvl="0">
      <w:lvlJc w:val="left"/>
      <w:lvlText w:val="%1."/>
      <w:numFmt w:val="decimal"/>
      <w:start w:val="8"/>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9"/>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Roman"/>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2019-12-28T17:47:07Z</dcterms:created>
  <dcterms:modified xsi:type="dcterms:W3CDTF">2019-12-28T17:47:07Z</dcterms:modified>
</cp:coreProperties>
</file>