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400" w:hanging="167"/>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001-37527</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580" w:hanging="250"/>
        <w:spacing w:after="0"/>
        <w:tabs>
          <w:tab w:leader="none" w:pos="1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UNDER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040" w:type="dxa"/>
            <w:vAlign w:val="bottom"/>
            <w:gridSpan w:val="4"/>
          </w:tcPr>
          <w:p>
            <w:pPr>
              <w:jc w:val="center"/>
              <w:ind w:right="2060"/>
              <w:spacing w:after="0"/>
              <w:rPr>
                <w:sz w:val="20"/>
                <w:szCs w:val="20"/>
                <w:color w:val="auto"/>
              </w:rPr>
            </w:pPr>
            <w:r>
              <w:rPr>
                <w:rFonts w:ascii="Arial" w:cs="Arial" w:eastAsia="Arial" w:hAnsi="Arial"/>
                <w:sz w:val="18"/>
                <w:szCs w:val="18"/>
                <w:b w:val="1"/>
                <w:bCs w:val="1"/>
                <w:color w:val="auto"/>
                <w:w w:val="98"/>
              </w:rPr>
              <w:t>XCEL BRANDS, INC.</w:t>
            </w:r>
          </w:p>
        </w:tc>
        <w:tc>
          <w:tcPr>
            <w:tcW w:w="2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(Exact name of Registrant as specified in its charter)</w:t>
            </w:r>
          </w:p>
        </w:tc>
        <w:tc>
          <w:tcPr>
            <w:tcW w:w="2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20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Delaware</w:t>
            </w:r>
          </w:p>
        </w:tc>
        <w:tc>
          <w:tcPr>
            <w:tcW w:w="5040" w:type="dxa"/>
            <w:vAlign w:val="bottom"/>
            <w:gridSpan w:val="4"/>
          </w:tcPr>
          <w:p>
            <w:pPr>
              <w:jc w:val="center"/>
              <w:ind w:left="4030"/>
              <w:spacing w:after="0"/>
              <w:rPr>
                <w:sz w:val="20"/>
                <w:szCs w:val="20"/>
                <w:color w:val="auto"/>
              </w:rPr>
            </w:pPr>
            <w:r>
              <w:rPr>
                <w:rFonts w:ascii="Arial" w:cs="Arial" w:eastAsia="Arial" w:hAnsi="Arial"/>
                <w:sz w:val="18"/>
                <w:szCs w:val="18"/>
                <w:color w:val="auto"/>
                <w:w w:val="91"/>
              </w:rPr>
              <w:t>76-0307819</w:t>
            </w:r>
          </w:p>
        </w:tc>
        <w:tc>
          <w:tcPr>
            <w:tcW w:w="21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gridSpan w:val="2"/>
          </w:tcPr>
          <w:p>
            <w:pPr>
              <w:jc w:val="center"/>
              <w:ind w:left="930"/>
              <w:spacing w:after="0" w:line="195" w:lineRule="exact"/>
              <w:rPr>
                <w:sz w:val="20"/>
                <w:szCs w:val="20"/>
                <w:color w:val="auto"/>
              </w:rPr>
            </w:pPr>
            <w:r>
              <w:rPr>
                <w:rFonts w:ascii="Arial" w:cs="Arial" w:eastAsia="Arial" w:hAnsi="Arial"/>
                <w:sz w:val="18"/>
                <w:szCs w:val="18"/>
                <w:color w:val="auto"/>
                <w:w w:val="91"/>
              </w:rPr>
              <w:t>(State or Other Jurisdiction of</w:t>
            </w:r>
          </w:p>
        </w:tc>
        <w:tc>
          <w:tcPr>
            <w:tcW w:w="104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20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6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1333 Broadway, 10th Floor, New York, NY 10018</w:t>
            </w:r>
          </w:p>
        </w:tc>
        <w:tc>
          <w:tcPr>
            <w:tcW w:w="21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4920" w:type="dxa"/>
            <w:vAlign w:val="bottom"/>
            <w:tcBorders>
              <w:top w:val="single" w:sz="8" w:color="auto"/>
            </w:tcBorders>
            <w:gridSpan w:val="3"/>
          </w:tcPr>
          <w:p>
            <w:pPr>
              <w:jc w:val="center"/>
              <w:ind w:right="185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20" w:type="dxa"/>
            <w:vAlign w:val="bottom"/>
            <w:gridSpan w:val="3"/>
          </w:tcPr>
          <w:p>
            <w:pPr>
              <w:jc w:val="center"/>
              <w:ind w:right="1830"/>
              <w:spacing w:after="0"/>
              <w:rPr>
                <w:sz w:val="20"/>
                <w:szCs w:val="20"/>
                <w:color w:val="auto"/>
              </w:rPr>
            </w:pPr>
            <w:r>
              <w:rPr>
                <w:rFonts w:ascii="Arial" w:cs="Arial" w:eastAsia="Arial" w:hAnsi="Arial"/>
                <w:sz w:val="18"/>
                <w:szCs w:val="18"/>
                <w:color w:val="auto"/>
                <w:w w:val="90"/>
              </w:rPr>
              <w:t>(347) 727-2474</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(Issuer's Telephone Number, Including Area Code)</w:t>
            </w:r>
          </w:p>
        </w:tc>
        <w:tc>
          <w:tcPr>
            <w:tcW w:w="21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20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0"/>
              </w:rPr>
              <w:t>Title of each class</w:t>
            </w:r>
          </w:p>
        </w:tc>
        <w:tc>
          <w:tcPr>
            <w:tcW w:w="1040" w:type="dxa"/>
            <w:vAlign w:val="bottom"/>
            <w:tcBorders>
              <w:bottom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20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Common Stock, $0.001 par value per share</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4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9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0" w:type="dxa"/>
            <w:vAlign w:val="bottom"/>
            <w:gridSpan w:val="3"/>
          </w:tcPr>
          <w:p>
            <w:pPr>
              <w:jc w:val="center"/>
              <w:ind w:right="3100"/>
              <w:spacing w:after="0"/>
              <w:rPr>
                <w:sz w:val="20"/>
                <w:szCs w:val="20"/>
                <w:color w:val="auto"/>
              </w:rPr>
            </w:pPr>
            <w:r>
              <w:rPr>
                <w:rFonts w:ascii="Arial" w:cs="Arial" w:eastAsia="Arial" w:hAnsi="Arial"/>
                <w:sz w:val="18"/>
                <w:szCs w:val="18"/>
                <w:color w:val="auto"/>
                <w:w w:val="88"/>
              </w:rPr>
              <w:t>None</w:t>
            </w:r>
          </w:p>
        </w:tc>
        <w:tc>
          <w:tcPr>
            <w:tcW w:w="2160" w:type="dxa"/>
            <w:vAlign w:val="bottom"/>
          </w:tcPr>
          <w:p>
            <w:pPr>
              <w:spacing w:after="0"/>
              <w:rPr>
                <w:sz w:val="20"/>
                <w:szCs w:val="20"/>
                <w:color w:val="auto"/>
              </w:rPr>
            </w:pPr>
          </w:p>
        </w:tc>
      </w:tr>
      <w:tr>
        <w:trPr>
          <w:trHeight w:val="452"/>
        </w:trPr>
        <w:tc>
          <w:tcPr>
            <w:tcW w:w="9260" w:type="dxa"/>
            <w:vAlign w:val="bottom"/>
            <w:gridSpan w:val="7"/>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p>
        </w:tc>
        <w:tc>
          <w:tcPr>
            <w:tcW w:w="21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26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21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099"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5000" w:space="720"/>
            <w:col w:w="5700"/>
          </w:cols>
          <w:pgMar w:left="240" w:top="445" w:right="239" w:bottom="1099" w:gutter="0" w:footer="0" w:header="0"/>
          <w:type w:val="continuous"/>
        </w:sect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was $52,172,148 based upon the closing price of such common stock on June 30, 2016.</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10, 2017 was 18,694,982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09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2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8460" w:type="dxa"/>
            <w:vAlign w:val="bottom"/>
            <w:tcBorders>
              <w:top w:val="single" w:sz="8" w:color="CCEEFF"/>
            </w:tcBorders>
            <w:gridSpan w:val="16"/>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8020" w:type="dxa"/>
            <w:vAlign w:val="bottom"/>
            <w:tcBorders>
              <w:bottom w:val="single" w:sz="8" w:color="CCEEFF"/>
            </w:tcBorders>
            <w:gridSpan w:val="1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1280" w:type="dxa"/>
            <w:vAlign w:val="bottom"/>
            <w:tcBorders>
              <w:top w:val="single" w:sz="8" w:color="CCEEFF"/>
            </w:tcBorders>
            <w:gridSpan w:val="2"/>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Item 7</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90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Financial Statements and Supplementary Data</w:t>
              </w:r>
            </w:hyperlink>
          </w:p>
        </w:tc>
        <w:tc>
          <w:tcPr>
            <w:tcW w:w="602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9</w:t>
            </w:r>
          </w:p>
        </w:tc>
        <w:tc>
          <w:tcPr>
            <w:tcW w:w="9360" w:type="dxa"/>
            <w:vAlign w:val="bottom"/>
            <w:gridSpan w:val="21"/>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Controls and Procedures</w:t>
              </w:r>
            </w:hyperlink>
          </w:p>
        </w:tc>
        <w:tc>
          <w:tcPr>
            <w:tcW w:w="7580" w:type="dxa"/>
            <w:vAlign w:val="bottom"/>
            <w:tcBorders>
              <w:bottom w:val="single" w:sz="8" w:color="CCEEFF"/>
            </w:tcBorders>
            <w:gridSpan w:val="11"/>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9B</w:t>
            </w:r>
          </w:p>
        </w:tc>
        <w:tc>
          <w:tcPr>
            <w:tcW w:w="9360" w:type="dxa"/>
            <w:vAlign w:val="bottom"/>
            <w:gridSpan w:val="21"/>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10</w:t>
            </w:r>
          </w:p>
        </w:tc>
        <w:tc>
          <w:tcPr>
            <w:tcW w:w="89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Directors, Executive Officers, Promoters, Control Persons and Corporate Governance; Compliance with Section 16(a) of the</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Exchange Act</w:t>
              </w:r>
            </w:hyperlink>
          </w:p>
        </w:tc>
        <w:tc>
          <w:tcPr>
            <w:tcW w:w="8340" w:type="dxa"/>
            <w:vAlign w:val="bottom"/>
            <w:tcBorders>
              <w:bottom w:val="single" w:sz="8" w:color="CCEEFF"/>
            </w:tcBorders>
            <w:gridSpan w:val="15"/>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11</w:t>
            </w:r>
          </w:p>
        </w:tc>
        <w:tc>
          <w:tcPr>
            <w:tcW w:w="9360" w:type="dxa"/>
            <w:vAlign w:val="bottom"/>
            <w:gridSpan w:val="21"/>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Security Ownership of Certain Beneficial Owners and Management and Related Stockholder Matters</w:t>
              </w:r>
            </w:hyperlink>
          </w:p>
        </w:tc>
        <w:tc>
          <w:tcPr>
            <w:tcW w:w="20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13</w:t>
            </w:r>
          </w:p>
        </w:tc>
        <w:tc>
          <w:tcPr>
            <w:tcW w:w="9360" w:type="dxa"/>
            <w:vAlign w:val="bottom"/>
            <w:gridSpan w:val="21"/>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14</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Pr>
          <w:p>
            <w:pPr>
              <w:ind w:left="240"/>
              <w:spacing w:after="0" w:line="176" w:lineRule="exact"/>
              <w:rPr>
                <w:sz w:val="20"/>
                <w:szCs w:val="20"/>
                <w:color w:val="auto"/>
              </w:rPr>
            </w:pPr>
            <w:r>
              <w:rPr>
                <w:rFonts w:ascii="Arial" w:cs="Arial" w:eastAsia="Arial" w:hAnsi="Arial"/>
                <w:sz w:val="18"/>
                <w:szCs w:val="18"/>
                <w:color w:val="auto"/>
              </w:rPr>
              <w:t>Item 15</w:t>
            </w:r>
          </w:p>
        </w:tc>
        <w:tc>
          <w:tcPr>
            <w:tcW w:w="9360" w:type="dxa"/>
            <w:vAlign w:val="bottom"/>
            <w:gridSpan w:val="21"/>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85" w:lineRule="exact"/>
        <w:rPr>
          <w:sz w:val="20"/>
          <w:szCs w:val="20"/>
          <w:color w:val="auto"/>
        </w:rPr>
      </w:pPr>
    </w:p>
    <w:p>
      <w:pPr>
        <w:jc w:val="both"/>
        <w:spacing w:after="0" w:line="209" w:lineRule="auto"/>
        <w:rPr>
          <w:sz w:val="20"/>
          <w:szCs w:val="20"/>
          <w:color w:val="auto"/>
        </w:rPr>
      </w:pPr>
      <w:r>
        <w:rPr>
          <w:rFonts w:ascii="Arial" w:cs="Arial" w:eastAsia="Arial" w:hAnsi="Arial"/>
          <w:sz w:val="16"/>
          <w:szCs w:val="16"/>
          <w:color w:val="auto"/>
        </w:rPr>
        <w:t>The “Isaac Mizrahi New York</w:t>
      </w:r>
      <w:r>
        <w:rPr>
          <w:rFonts w:ascii="Arial" w:cs="Arial" w:eastAsia="Arial" w:hAnsi="Arial"/>
          <w:sz w:val="26"/>
          <w:szCs w:val="26"/>
          <w:color w:val="auto"/>
          <w:vertAlign w:val="superscript"/>
        </w:rPr>
        <w:t>®</w:t>
      </w:r>
      <w:r>
        <w:rPr>
          <w:rFonts w:ascii="Arial" w:cs="Arial" w:eastAsia="Arial" w:hAnsi="Arial"/>
          <w:sz w:val="16"/>
          <w:szCs w:val="16"/>
          <w:color w:val="auto"/>
        </w:rPr>
        <w:t>,” “Isaac Mizrahi</w:t>
      </w:r>
      <w:r>
        <w:rPr>
          <w:rFonts w:ascii="Arial" w:cs="Arial" w:eastAsia="Arial" w:hAnsi="Arial"/>
          <w:sz w:val="26"/>
          <w:szCs w:val="26"/>
          <w:color w:val="auto"/>
          <w:vertAlign w:val="superscript"/>
        </w:rPr>
        <w:t>®</w:t>
      </w:r>
      <w:r>
        <w:rPr>
          <w:rFonts w:ascii="Arial" w:cs="Arial" w:eastAsia="Arial" w:hAnsi="Arial"/>
          <w:sz w:val="16"/>
          <w:szCs w:val="16"/>
          <w:color w:val="auto"/>
        </w:rPr>
        <w:t>,” “IsaacMizrahiLIVE</w:t>
      </w:r>
      <w:r>
        <w:rPr>
          <w:rFonts w:ascii="Arial" w:cs="Arial" w:eastAsia="Arial" w:hAnsi="Arial"/>
          <w:sz w:val="26"/>
          <w:szCs w:val="26"/>
          <w:color w:val="auto"/>
          <w:vertAlign w:val="superscript"/>
        </w:rPr>
        <w:t>®</w:t>
      </w:r>
      <w:r>
        <w:rPr>
          <w:rFonts w:ascii="Arial" w:cs="Arial" w:eastAsia="Arial" w:hAnsi="Arial"/>
          <w:sz w:val="16"/>
          <w:szCs w:val="16"/>
          <w:color w:val="auto"/>
        </w:rPr>
        <w:t>,” “Isaac Mizrahi Jeans</w:t>
      </w:r>
      <w:r>
        <w:rPr>
          <w:rFonts w:ascii="Arial" w:cs="Arial" w:eastAsia="Arial" w:hAnsi="Arial"/>
          <w:sz w:val="26"/>
          <w:szCs w:val="26"/>
          <w:color w:val="auto"/>
          <w:vertAlign w:val="superscript"/>
        </w:rPr>
        <w:t>TM</w:t>
      </w:r>
      <w:r>
        <w:rPr>
          <w:rFonts w:ascii="Arial" w:cs="Arial" w:eastAsia="Arial" w:hAnsi="Arial"/>
          <w:sz w:val="16"/>
          <w:szCs w:val="16"/>
          <w:color w:val="auto"/>
        </w:rPr>
        <w:t>,” “Isaac Mizrahi CRAFT</w:t>
      </w:r>
      <w:r>
        <w:rPr>
          <w:rFonts w:ascii="Arial" w:cs="Arial" w:eastAsia="Arial" w:hAnsi="Arial"/>
          <w:sz w:val="26"/>
          <w:szCs w:val="26"/>
          <w:color w:val="auto"/>
          <w:vertAlign w:val="superscript"/>
        </w:rPr>
        <w:t>TM</w:t>
      </w:r>
      <w:r>
        <w:rPr>
          <w:rFonts w:ascii="Arial" w:cs="Arial" w:eastAsia="Arial" w:hAnsi="Arial"/>
          <w:sz w:val="16"/>
          <w:szCs w:val="16"/>
          <w:color w:val="auto"/>
        </w:rPr>
        <w:t>,” “Judith Ripka LTD</w:t>
      </w:r>
      <w:r>
        <w:rPr>
          <w:rFonts w:ascii="Arial" w:cs="Arial" w:eastAsia="Arial" w:hAnsi="Arial"/>
          <w:sz w:val="26"/>
          <w:szCs w:val="26"/>
          <w:color w:val="auto"/>
          <w:vertAlign w:val="superscript"/>
        </w:rPr>
        <w:t>TM</w:t>
      </w:r>
      <w:r>
        <w:rPr>
          <w:rFonts w:ascii="Arial" w:cs="Arial" w:eastAsia="Arial" w:hAnsi="Arial"/>
          <w:sz w:val="16"/>
          <w:szCs w:val="16"/>
          <w:color w:val="auto"/>
        </w:rPr>
        <w:t>,” “Judith Ripka Collection</w:t>
      </w:r>
      <w:r>
        <w:rPr>
          <w:rFonts w:ascii="Arial" w:cs="Arial" w:eastAsia="Arial" w:hAnsi="Arial"/>
          <w:sz w:val="26"/>
          <w:szCs w:val="26"/>
          <w:color w:val="auto"/>
          <w:vertAlign w:val="superscript"/>
        </w:rPr>
        <w:t>TM</w:t>
      </w:r>
      <w:r>
        <w:rPr>
          <w:rFonts w:ascii="Arial" w:cs="Arial" w:eastAsia="Arial" w:hAnsi="Arial"/>
          <w:sz w:val="16"/>
          <w:szCs w:val="16"/>
          <w:color w:val="auto"/>
        </w:rPr>
        <w:t>,” “Judith Ripka Legacy</w:t>
      </w:r>
      <w:r>
        <w:rPr>
          <w:rFonts w:ascii="Arial" w:cs="Arial" w:eastAsia="Arial" w:hAnsi="Arial"/>
          <w:sz w:val="26"/>
          <w:szCs w:val="26"/>
          <w:color w:val="auto"/>
          <w:vertAlign w:val="superscript"/>
        </w:rPr>
        <w:t>TM</w:t>
      </w:r>
      <w:r>
        <w:rPr>
          <w:rFonts w:ascii="Arial" w:cs="Arial" w:eastAsia="Arial" w:hAnsi="Arial"/>
          <w:sz w:val="16"/>
          <w:szCs w:val="16"/>
          <w:color w:val="auto"/>
        </w:rPr>
        <w:t>,” “Judith Ripka</w:t>
      </w:r>
      <w:r>
        <w:rPr>
          <w:rFonts w:ascii="Arial" w:cs="Arial" w:eastAsia="Arial" w:hAnsi="Arial"/>
          <w:sz w:val="26"/>
          <w:szCs w:val="26"/>
          <w:color w:val="auto"/>
          <w:vertAlign w:val="superscript"/>
        </w:rPr>
        <w:t>®</w:t>
      </w:r>
      <w:r>
        <w:rPr>
          <w:rFonts w:ascii="Arial" w:cs="Arial" w:eastAsia="Arial" w:hAnsi="Arial"/>
          <w:sz w:val="16"/>
          <w:szCs w:val="16"/>
          <w:color w:val="auto"/>
        </w:rPr>
        <w:t>,” “Judith Ripka Sterling</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 Wonder </w:t>
      </w:r>
      <w:r>
        <w:rPr>
          <w:rFonts w:ascii="Arial" w:cs="Arial" w:eastAsia="Arial" w:hAnsi="Arial"/>
          <w:sz w:val="26"/>
          <w:szCs w:val="26"/>
          <w:color w:val="auto"/>
          <w:vertAlign w:val="superscript"/>
        </w:rPr>
        <w:t>TM</w:t>
      </w:r>
      <w:r>
        <w:rPr>
          <w:rFonts w:ascii="Arial" w:cs="Arial" w:eastAsia="Arial" w:hAnsi="Arial"/>
          <w:sz w:val="16"/>
          <w:szCs w:val="16"/>
          <w:color w:val="auto"/>
        </w:rPr>
        <w:t>,” “C. Wonder Limited</w:t>
      </w:r>
      <w:r>
        <w:rPr>
          <w:rFonts w:ascii="Arial" w:cs="Arial" w:eastAsia="Arial" w:hAnsi="Arial"/>
          <w:sz w:val="26"/>
          <w:szCs w:val="26"/>
          <w:color w:val="auto"/>
          <w:vertAlign w:val="superscript"/>
        </w:rPr>
        <w:t>TM</w:t>
      </w:r>
      <w:r>
        <w:rPr>
          <w:rFonts w:ascii="Arial" w:cs="Arial" w:eastAsia="Arial" w:hAnsi="Arial"/>
          <w:sz w:val="16"/>
          <w:szCs w:val="16"/>
          <w:color w:val="auto"/>
        </w:rPr>
        <w:t>,” and “Highline Collective</w:t>
      </w:r>
      <w:r>
        <w:rPr>
          <w:rFonts w:ascii="Arial" w:cs="Arial" w:eastAsia="Arial" w:hAnsi="Arial"/>
          <w:sz w:val="26"/>
          <w:szCs w:val="26"/>
          <w:color w:val="auto"/>
          <w:vertAlign w:val="superscript"/>
        </w:rPr>
        <w:t>TM</w:t>
      </w:r>
      <w:r>
        <w:rPr>
          <w:rFonts w:ascii="Arial" w:cs="Arial" w:eastAsia="Arial" w:hAnsi="Arial"/>
          <w:sz w:val="16"/>
          <w:szCs w:val="16"/>
          <w:color w:val="auto"/>
        </w:rPr>
        <w:t>” brands and all related logos and other trademarks or service marks of the Company appearing in this Annual Report are the property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Company. The “H by Halston</w:t>
      </w:r>
      <w:r>
        <w:rPr>
          <w:rFonts w:ascii="Arial" w:cs="Arial" w:eastAsia="Arial" w:hAnsi="Arial"/>
          <w:sz w:val="26"/>
          <w:szCs w:val="26"/>
          <w:color w:val="auto"/>
          <w:vertAlign w:val="superscript"/>
        </w:rPr>
        <w:t>®</w:t>
      </w:r>
      <w:r>
        <w:rPr>
          <w:rFonts w:ascii="Arial" w:cs="Arial" w:eastAsia="Arial" w:hAnsi="Arial"/>
          <w:sz w:val="16"/>
          <w:szCs w:val="16"/>
          <w:color w:val="auto"/>
        </w:rPr>
        <w:t>,” and “H Halston</w:t>
      </w:r>
      <w:r>
        <w:rPr>
          <w:rFonts w:ascii="Arial" w:cs="Arial" w:eastAsia="Arial" w:hAnsi="Arial"/>
          <w:sz w:val="26"/>
          <w:szCs w:val="26"/>
          <w:color w:val="auto"/>
          <w:vertAlign w:val="superscript"/>
        </w:rPr>
        <w:t>TM</w:t>
      </w:r>
      <w:r>
        <w:rPr>
          <w:rFonts w:ascii="Arial" w:cs="Arial" w:eastAsia="Arial" w:hAnsi="Arial"/>
          <w:sz w:val="16"/>
          <w:szCs w:val="16"/>
          <w:color w:val="auto"/>
        </w:rPr>
        <w:t>” brands were acquired by the Company December 22, 2014, however certain U.S. applications for registration that are based upon intent-to-use currently remain in the name of The H Company IP, LLC, from whom we purchased the marks, until such time</w:t>
      </w:r>
    </w:p>
    <w:p>
      <w:pPr>
        <w:jc w:val="both"/>
        <w:spacing w:after="0" w:line="298" w:lineRule="auto"/>
        <w:rPr>
          <w:sz w:val="20"/>
          <w:szCs w:val="20"/>
          <w:color w:val="auto"/>
        </w:rPr>
      </w:pPr>
      <w:r>
        <w:rPr>
          <w:rFonts w:ascii="Arial" w:cs="Arial" w:eastAsia="Arial" w:hAnsi="Arial"/>
          <w:sz w:val="18"/>
          <w:szCs w:val="18"/>
          <w:color w:val="auto"/>
        </w:rPr>
        <w:t>as the marks are put into use and assigned to us. All other brand names or trademarks appearing in this Annual Report, including “Liz Claiborne New York</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“Halston </w:t>
      </w:r>
      <w:r>
        <w:rPr>
          <w:rFonts w:ascii="Arial" w:cs="Arial" w:eastAsia="Arial" w:hAnsi="Arial"/>
          <w:sz w:val="30"/>
          <w:szCs w:val="30"/>
          <w:color w:val="auto"/>
          <w:vertAlign w:val="superscript"/>
        </w:rPr>
        <w:t>®</w:t>
      </w:r>
      <w:r>
        <w:rPr>
          <w:rFonts w:ascii="Arial" w:cs="Arial" w:eastAsia="Arial" w:hAnsi="Arial"/>
          <w:sz w:val="18"/>
          <w:szCs w:val="18"/>
          <w:color w:val="auto"/>
        </w:rPr>
        <w:t>” and “Halston Heritage</w:t>
      </w:r>
      <w:r>
        <w:rPr>
          <w:rFonts w:ascii="Arial" w:cs="Arial" w:eastAsia="Arial" w:hAnsi="Arial"/>
          <w:sz w:val="30"/>
          <w:szCs w:val="30"/>
          <w:color w:val="auto"/>
          <w:vertAlign w:val="superscript"/>
        </w:rPr>
        <w:t>®</w:t>
      </w:r>
      <w:r>
        <w:rPr>
          <w:rFonts w:ascii="Arial" w:cs="Arial" w:eastAsia="Arial" w:hAnsi="Arial"/>
          <w:sz w:val="18"/>
          <w:szCs w:val="18"/>
          <w:color w:val="auto"/>
        </w:rPr>
        <w:t>,” are the property of their respective owners.</w:t>
      </w:r>
    </w:p>
    <w:p>
      <w:pPr>
        <w:spacing w:after="0" w:line="2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Xcel Brands, Inc. (“Xcel,” the “Company,” “we,” “us” or “our”) is a media and brand management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the Highline Collective brands. We also managed and designed the Liz Claiborne New York brand (“LCNY Brand”) through July 31, 2016. Going forward, we intend to focus on our wholly owned brands.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production oversight, marketing, and social media;</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internet, and traditional retail channels;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provide certain retail licensees with vertical production capabilities.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and marketing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enable us to reach consumers in over 360 million homes worldwide.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“virtual vertical” production platform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principal office is located at 1333 Broadway, New York, NY 10018. Our telephone number is (347) 727-2474. Additionally, we maintain websites for our respective brands at </w:t>
      </w:r>
      <w:r>
        <w:rPr>
          <w:rFonts w:ascii="Arial" w:cs="Arial" w:eastAsia="Arial" w:hAnsi="Arial"/>
          <w:sz w:val="17"/>
          <w:szCs w:val="17"/>
          <w:u w:val="single" w:color="auto"/>
          <w:color w:val="auto"/>
        </w:rPr>
        <w:t>www.isaacmizrahi.com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www.judithripka.com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www.cwonder.com</w:t>
      </w:r>
      <w:r>
        <w:rPr>
          <w:rFonts w:ascii="Arial" w:cs="Arial" w:eastAsia="Arial" w:hAnsi="Arial"/>
          <w:sz w:val="17"/>
          <w:szCs w:val="17"/>
          <w:color w:val="auto"/>
        </w:rPr>
        <w:t xml:space="preserve">. Our corporate website is </w:t>
      </w:r>
      <w:r>
        <w:rPr>
          <w:rFonts w:ascii="Arial" w:cs="Arial" w:eastAsia="Arial" w:hAnsi="Arial"/>
          <w:sz w:val="17"/>
          <w:szCs w:val="17"/>
          <w:u w:val="single" w:color="auto"/>
          <w:color w:val="auto"/>
        </w:rPr>
        <w:t>www.xcelbrands.com</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our brand portfolio includes the Isaac Mizrahi brands, the Judith Ripka brands, the H Halston brands, the C Wonder brands, and the Highline Collective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ubiquitous-channel retail sales strategy, the brand is available across various distribution channels to reach customers wherever they shop: better department stores, such as Lord &amp; Taylor and Hudson’s Bay; interactive television, including QVC and The Shopping Channel; and national specialty retailers. The brand is also sold in various global locations, including Canada, Mexico, the United Kingdom, the Philippines, and the Middle East. When we refer to the Mizrahi brands, we include IMNYC (exclusive to Lord &amp; Taylor, Hudson’s Bay, and Dillard’s), IsaacMizrahiLIVE!, and Isaac Mizrahi. We acquired the Mizrahi brands in September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Judith Ripka is a luxury jewelry brand founded by Judith Ripka in 1977. This brand has become known worldwide for its distinctive designs featuring intricate metalwork, vibrant colors, and distinctive feel. The Judith Ripka LTD fine jewelry collection consists of pieces in 18 karat gold and sterling silver with precious colored jewels and diamonds, and is currently available in fine jewelry stores, luxury retailers, and via e-commerce. A line of luxury watches was introduced in 2015. In December 2016, we announced Christina Caruso as the Creative Director for the Judith Ripka brand. As Chief Designer, Ms. Ripka also launched an innovative collection of fine jewelry on QVC under the Judith Ripka brand in 1996, where she offers customers fine jewelry, watches, and accessories at more accessible price points, including precious and semi-precious stones and multi-faceted diamonique stones made exclusively for the brand. The Ripka brands are distributed in various countries including the United States, Canada, the United Kingdom, Russia, the Ukraine, and elsewhere in Europe and the Middle East. When we refer to the Ripka brands, we include Judith Ripka LTD, Judith Ripka, and all related brands and collections. We acquired the Ripka brands in April 2014.</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H Halston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 Halston brands are sub-brands of the Halston fashion brands, which include Halston and Halston Heritage. 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When we refer to the H Halston brands, we include H Halston and H by Halston. We launched the H by Halston brand on QVC in September 2015, which is available exclusively through interactive television channels, launched the H Halston brand lifestyle collection at Lord &amp; Taylor and Hudson’s Bay in April 2016, and expect to launch the H Halston brand lifestyle collection at Dillard’s in 2017. We acquired the H Halston brands in December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Wonder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launched the brand on QVC in March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Highline Collective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Highline Collective is a brand that we created in 2015 to deliver on-trend apparel and accessories. Highline Collective is an accessible, trend-right fashion brand that delivers fresh apparel weekly – featuring the season’s most desired styles, colors, and patterns at exactly the right time. We launched the Highline Collective brand at Lord &amp; Taylor and Hudson’s Bay in April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vision is intended to reimagine shopping, entertainment, and social as one. To fulfill this vision, we plan to continue to grow the reach of our brand portfolio by leveraging our own internal design, production, and marketing expertise and our relationships with key licensees and retailers, and to market our brands through our innovative ubiquitous-channel retail sales strategy. Our strategy includes distribution through interactive television, the internet, and traditional brick-and-mortar retail channels. By leveraging the reach and media presence of our interactive television partners, and by developing rich online video and social media content under our brands, our strategy is to drive increased customer engagement and generate sales across our channels of distribution. Key elements of our strategy include:</w:t>
      </w:r>
    </w:p>
    <w:p>
      <w:pPr>
        <w:spacing w:after="0" w:line="193" w:lineRule="exact"/>
        <w:rPr>
          <w:sz w:val="20"/>
          <w:szCs w:val="20"/>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Wholesale License Relationships</w:t>
      </w:r>
      <w:r>
        <w:rPr>
          <w:rFonts w:ascii="Arial" w:cs="Arial" w:eastAsia="Arial" w:hAnsi="Arial"/>
          <w:sz w:val="18"/>
          <w:szCs w:val="18"/>
          <w:color w:val="auto"/>
        </w:rPr>
        <w:t>. Since acquiring the Mizrahi brands in September 2011, we have entered into numerous license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product categories. We intend to enter into additional license agreements for new product categories for our existing brands, and any other brands we may acquire.</w:t>
      </w:r>
    </w:p>
    <w:p>
      <w:pPr>
        <w:spacing w:after="0" w:line="181"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 and Leverage QTR Platform to Additional Retail Partners. </w:t>
      </w:r>
      <w:r>
        <w:rPr>
          <w:rFonts w:ascii="Arial" w:cs="Arial" w:eastAsia="Arial" w:hAnsi="Arial"/>
          <w:sz w:val="17"/>
          <w:szCs w:val="17"/>
          <w:color w:val="auto"/>
        </w:rPr>
        <w:t>In 2015, we developed a quick-time response (QTR) production platform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short lead-time production capabilities between four to eight weeks to our licensed retail partners. We launched three of our brands at Lord &amp; Taylor and Hudson’s Bay department stores through the QTR platform in April 2016, and will launch H Halston in Dillard's in 2017. Given some of the challenges facing the department store industry today, including declining customer traffic, aggressive mark-down cadence, and inability to respond quickly to customer demands, we developed this QTR platform in order to try to address these challenges and deliver a full 360-degree solution to our retail partners for our brands, including design, marketing, production oversight, and sourcing advice. We provide the platform to our licensees and in certain cases manage the supply chain for our brands on their behalf; however, the licensees are responsible for purchasing products directly from the factories. In connection with developing the QTR platform, we have hired experienced production experts and personnel to develop and manage the platform. We intend to leverage the platform across additional brands and/or retailers, and believe that it provides us with a value-added service that differentiates us from our competitors and competing brands.</w:t>
      </w:r>
    </w:p>
    <w:p>
      <w:pPr>
        <w:spacing w:after="0" w:line="177" w:lineRule="exact"/>
        <w:rPr>
          <w:rFonts w:ascii="Arial" w:cs="Arial" w:eastAsia="Arial" w:hAnsi="Arial"/>
          <w:sz w:val="17"/>
          <w:szCs w:val="17"/>
          <w:color w:val="auto"/>
        </w:rPr>
      </w:pPr>
    </w:p>
    <w:p>
      <w:pPr>
        <w:jc w:val="both"/>
        <w:ind w:left="340" w:hanging="332"/>
        <w:spacing w:after="0" w:line="30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Other Retail Partnerships. </w:t>
      </w:r>
      <w:r>
        <w:rPr>
          <w:rFonts w:ascii="Arial" w:cs="Arial" w:eastAsia="Arial" w:hAnsi="Arial"/>
          <w:sz w:val="16"/>
          <w:szCs w:val="16"/>
          <w:color w:val="auto"/>
        </w:rPr>
        <w:t>We have entered into promotional collaborations and/or marketing agreements with large global companies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54"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Internationally</w:t>
      </w:r>
      <w:r>
        <w:rPr>
          <w:rFonts w:ascii="Arial" w:cs="Arial" w:eastAsia="Arial" w:hAnsi="Arial"/>
          <w:sz w:val="18"/>
          <w:szCs w:val="18"/>
          <w:color w:val="auto"/>
        </w:rPr>
        <w:t>. In 2015, we expanded the Mizrahi brand into Italy, France, and Germany on QVC; began selling the Ripka brands through QVC</w:t>
      </w:r>
      <w:r>
        <w:rPr>
          <w:rFonts w:ascii="Arial" w:cs="Arial" w:eastAsia="Arial" w:hAnsi="Arial"/>
          <w:sz w:val="18"/>
          <w:szCs w:val="18"/>
          <w:i w:val="1"/>
          <w:iCs w:val="1"/>
          <w:color w:val="auto"/>
        </w:rPr>
        <w:t xml:space="preserve"> </w:t>
      </w:r>
      <w:r>
        <w:rPr>
          <w:rFonts w:ascii="Arial" w:cs="Arial" w:eastAsia="Arial" w:hAnsi="Arial"/>
          <w:sz w:val="18"/>
          <w:szCs w:val="18"/>
          <w:color w:val="auto"/>
        </w:rPr>
        <w:t>in Japan; and launched the H by Halston brand on QVC in the United Kingdom. In 2016, we expanded the H by Halston brand into Italy, France, and Germany on QVC; and launched the C Wonder brand on QVC in the United Kingdom, Italy, and France. We plan to continue to expand our brands internationally through QVC, including the planned expansion of H by Halston in Japan, and to license to certain international licensing partners the right to distribute products under our brands through department stores and other retailers in such international markets. We will also seek to grow the Mizrahi brand on The Shopping Channel (“TSC”) through category expansion and product offerings, and seek ways to expand to leverage our other brands through TSC’s platform.</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Deliver Quality Product Offerings</w:t>
      </w:r>
      <w:r>
        <w:rPr>
          <w:rFonts w:ascii="Arial" w:cs="Arial" w:eastAsia="Arial" w:hAnsi="Arial"/>
          <w:sz w:val="18"/>
          <w:szCs w:val="18"/>
          <w:color w:val="auto"/>
        </w:rPr>
        <w:t>. We employ a design team to provide design and other services to our licensees to ensure that our products adhere to</w:t>
      </w:r>
      <w:r>
        <w:rPr>
          <w:rFonts w:ascii="Arial" w:cs="Arial" w:eastAsia="Arial" w:hAnsi="Arial"/>
          <w:sz w:val="18"/>
          <w:szCs w:val="18"/>
          <w:i w:val="1"/>
          <w:iCs w:val="1"/>
          <w:color w:val="auto"/>
        </w:rPr>
        <w:t xml:space="preserve"> </w:t>
      </w:r>
      <w:r>
        <w:rPr>
          <w:rFonts w:ascii="Arial" w:cs="Arial" w:eastAsia="Arial" w:hAnsi="Arial"/>
          <w:sz w:val="18"/>
          <w:szCs w:val="18"/>
          <w:color w:val="auto"/>
        </w:rPr>
        <w:t>stringent quality standards and design specifications that we have developed. We intend to continue to invest in our design and marketing capabilities in order to differentiate our services to our licensees and our brands in the marketplace.</w:t>
      </w:r>
    </w:p>
    <w:p>
      <w:pPr>
        <w:spacing w:after="0" w:line="181" w:lineRule="exact"/>
        <w:rPr>
          <w:rFonts w:ascii="Arial" w:cs="Arial" w:eastAsia="Arial" w:hAnsi="Arial"/>
          <w:sz w:val="18"/>
          <w:szCs w:val="18"/>
          <w:color w:val="auto"/>
        </w:rPr>
      </w:pPr>
    </w:p>
    <w:p>
      <w:pPr>
        <w:ind w:left="340" w:hanging="332"/>
        <w:spacing w:after="0" w:line="274"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Acquire or Partner with Strategic Brands</w:t>
      </w:r>
      <w:r>
        <w:rPr>
          <w:rFonts w:ascii="Arial" w:cs="Arial" w:eastAsia="Arial" w:hAnsi="Arial"/>
          <w:sz w:val="17"/>
          <w:szCs w:val="17"/>
          <w:color w:val="auto"/>
        </w:rPr>
        <w:t>. We plan to continue to pursue the acquisition of additional brands or the rights to brands which we believe are</w:t>
      </w:r>
      <w:r>
        <w:rPr>
          <w:rFonts w:ascii="Arial" w:cs="Arial" w:eastAsia="Arial" w:hAnsi="Arial"/>
          <w:sz w:val="17"/>
          <w:szCs w:val="17"/>
          <w:i w:val="1"/>
          <w:iCs w:val="1"/>
          <w:color w:val="auto"/>
        </w:rPr>
        <w:t xml:space="preserve"> </w:t>
      </w:r>
      <w:r>
        <w:rPr>
          <w:rFonts w:ascii="Arial" w:cs="Arial" w:eastAsia="Arial" w:hAnsi="Arial"/>
          <w:sz w:val="17"/>
          <w:szCs w:val="17"/>
          <w:color w:val="auto"/>
        </w:rPr>
        <w:t>synergistic and complementary to our overall strategy. Our brand acquisition strategy is focused on dynamic brands that we believe:</w:t>
      </w:r>
    </w:p>
    <w:p>
      <w:pPr>
        <w:ind w:left="980" w:hanging="648"/>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synergistic to our existing portfolio of brands;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leverageable onto our proprietary product development and brand management platform and QTR platform;</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exhibit meaningful organic growth potential;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expected to be accretive to our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Licensors are typically brand owners who invest and manage their intellectual property, but leave much of the expense and operational heavy lifting, such as sourcing and distribution, to third party licensees. Licensors maintain control over their brand image while extracting a percentage royalty from licensees in exchange for the use of the trademark in strategically segmented categories and channels. This strategy minimizes operational risk while generating healthy margins and free cash flow relative to traditional wholesale apparel companies.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Brand management and licensing is a large and growing global industry that in 2015 generated over $250 billion in retail sales and approximately $14 billion in royalty revenues worldwide, according to the 2016 Annual Global Licensing Industry Survey by the International Licensing Industry Merchandisers’ Association (“LIMA”). LIMA indicated that fashion was one of the top three largest intellectual property categories in licensing in 2015, representing approximately $30 billion in estimated retail sales (12% of the worldwide total) and approximately $2 billion in royalties (13% of the worldwide total). The United States and Canada, which is where the Company primarily operates, was reported by LIMA to be the most dominant region in the brand management and licensing industry, with more than $145 billion in retail sales, representing 58% of the worldwide total market. LIMA reported that the fashion intellectual property category represented approximately $18 billion in estimated retail sales (12% of the regional total) and approximately $1 billion in royalties (14% of the regional total).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Production, Marketing, and Licensing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license our brands to third parties, provide certain design, production and marketing services, in certain cases provide production oversight, and generate licensing, design, and service fee revenues through contractual arrangements with wholesale manufacturers, sourcing and design companies,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and social media, to drive sales of products under our brands across distribution channels.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QVC is an important strategic partner in our design, marketing and licensing business, and is our largest licensee for each of our Mizrahi, Ripka, H Halston, and C Wonder brands. QVC’s business model is to promote and sell products through its interactive television programs and related internet and mobile platforms. We leverage both our brand celebrity hosts as well as alternate brand hosts to promote products under our brands on QVC. According to QVC, QVC had global revenues of approximately $8.7 billion in 2016, of which e-commerce sales represented approximately $4.0 billion, and QVC’s programming currently reaches approximately 360 million homes worldwide. QVC was ranked as the number three mobile retailer in the U.S. according to the 2017 Internet Retailer Mobile 500, and as number four among multi-category retailers in North America, according to the 2016 Internet Retailer Top 500. Our agreements with QVC allow our brand celebrity hosts and spokespersons to promote our non-QVC product lines and strategic partnerships under the Mizrahi, Ripka, H Halston, and C Wonder brands through QVC’s programs, subject to certain parameters including the payment of a portion of our non-QVC revenues to QVC. We believe that our ability to continue to leverage QVC’s media platform, reach, and attractive customer base to cross-promote products in and drive traffic to our other channels of distribution provides us a unique advantage.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licensing agreements, our licensing partners are responsible for manufacturing, selling, and distributing our licensed products, subject to our oversight and marketing support. Our business model allows us to focus on our core competencies of designing, sourcing, marketing, and managing brands without much of the risk and investment requirements associated with traditional apparel companies. The Mizrahi brands are licensed through our wholly owned subsidiary, IM Brands, LLC or IM Brands, the Ripka brands are licensed through our wholly owned subsidiary, JR Licensing, LLC or JR Licensing, the H Halston brands are licensed through our wholly owned subsidiary, H Licensing, LLC or H Licensing, and the C Wonder brands are licensed through our wholly owned subsidiary, C Wonder Licensing, LLC or CW Licensing.</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aforementioned licensing activities, we provide design support and in certain cases production oversight support to third party licensees for our brands where required and coordinate merchandising and sales efforts for those parties in each case where appropriate. We also conduct marketing, advertising, public relations, and social media marketing campaigns for our brands, and coordinate such activities with our licensees.</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In 2013, we began offering the IsaacMizrahiLIVE brand through interactive television on The Shopping Channel (TSC) in Canada. In 2014, we launched the IsaacMizrahiLIVE brand on QVC in the United Kingdom. In 2015, we commenced sales through QVC of our IsaacMizrahiLIVE brand in Italy, France, and Germany; the Ripka brands in Germany and Japan; and the H by Halston brand in the United Kingdom. In 2016, we launched the C Wonder brand on QVC both domestically as well as internationally in the United Kingdom, Italy, and France, and expanded the H by Halston QVC sales to Italy, Germany, and France. In 2017, we plan to commence sales through QVC of the H by Halston in Japan. We plan to continue to expand our brands internationally through QVC, and through other interactive television networks where QVC grants us the right to do so. We also plan to license to certain international licensing partners the right to distribute products under our brands through department stores and other retailers and/or the right to open and operate retail stores under our brands in such international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QVC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wholly owned subsidiaries, we have entered into direct-to-retail license agreements with QVC, pursuant to which we design, and QVC sources and sells, various products under our IsaacMizrahiLIVE brand, the Judith Ripka brands,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these agreements, we have granted to QVC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Current Term</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Automatic</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Xcel Commenced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Expiry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QVC Product Launch</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one year period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2011</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2019</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one year period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April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December 31,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2015</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C Wonder QVC Agreement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 2021</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2016</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our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QVC Agreements, QVC is obligated to make payments to us on a quarterly basis, based upon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our grant of worldwide promotion rights to QVC, we may, with the permission of QVC,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QVC based on the net retail sales of such products through such channels.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Also under the QVC Agreements, we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QVC Agreements, we are restricted from selling products under the specified respective brands or trademarks (including the trademarks, copyrights, designs, logos, and related intellectual property themselves) to mass merchants. The QVC Agreements generally prohibit us from selling products under the specified respective brands or any of our other trademarks and brands to a direct competitor of QVC (generally defined as any entity other than QVC whose primary means of deriving revenue is the transmission of interactive television programs). In addition, during the terms of the IM QVC Agreement, the Ripka QVC Agreement, and the C Wonder QVC Agreement, and for one year thereafter, the respective subsidiary may not, without QVC’s consent, promote, advertise, endorse or sell (i) the specified branded products through any means or (ii) any products through interactive television. During the term of the H QVC Agreement, and for one year thereafter, H Licensing may not, without QVC’s consent, promote, advertise, endorse or sell any products, including the H by Halston brands, through interactive television.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forgoing, certain of the QVC Agreements permit us to promote brick-and-mortar collections on QVC’s television program subject to certain terms and restrictions.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While sales under the QVC Agreements have been generated primarily in the United States, we are in the process of expanding internationally. We commenced sales of our IsaacMizrahiLIVE brand through QVC in the United Kingdom in May 2014 and launched the brand through QVC in Italy in August 2015, France in September 2015, and Germany in November 2015. We began selling the Ripka brands through QVC in Japan in May 2015. The H by Halston brand was launched on QVC in the United Kingdom in November 2015, Italy in August 2016, France in September 2016, and Germany in October 2016. We launched our C Wonder brand through QVC in the United Kingdom and Italy in March 2016, and in France in April 2016. We plan to continue to expand our brands internationally through QVC where QVC has or develops an international presence, including the planned expansion of H by Halston in Japan in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also received fees from QVC related to the management and design of the LCNY brand pursuant to an agreement with Kate Spade Company (“KSC”), formerly Fifth &amp; Pacific Companies, Inc. and formerly Liz Claiborne, Inc. (the “LCNY Agreement”). The LCNY Agreement expired July 31,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2016 and 2015, the QVC Agreements collectively accounted for 85% and 84%, respectively, of the total revenues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TSC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an agreement with The Shopping Channel, which we refer to as TSC, related to our IsaacMizrahiLIVE brand. The agreement grants TSC the exclusive right to sell products under the IsaacMizrahiLIVE brand through its interactive television programs and related e-commerce and mobile sites for distribution only in Canada, and provides to TSC the right to source products under the brand produced under license by QVC in exchange for paying to QVC a sourcing fee for certain of such products, and the rights granted to TSC remain subject to the restrictions under the IM QVC Agreement. Under the agreement with TSC, we receive a percentage of TSC’s net sales of products under the IsaacMizrahiLIVE brand.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Halston Licensing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trademark license agreement, or the H Halston License Agreement, entered into on December 22, 2014 by and between H Licensing and The H Company IP, LLC, or HIP, H Licensing granted to HIP a non-assignable exclusive sublicense to use the H Halston trademark in association with the manufacture, distribution, promotion, advertising, and sale of products bearing the H Halston trademark and any related services thereto in all channels of distribution, excluding interactive television and its related e-commerce and digital distribution, and excluding certain mass retailers. HIP was required to pay royalties to H Licensing during the term, with a minimum guaranteed royalty of $600,000 per year during the initial term for 2016 through 2024 and $1,200,000 for any year thereafter. Benjamin Malka, a director of our Company, is the chief executive officer and a 25% equity holder of House of Halston, LLC, the parent company of HIP.</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on an annual basis the greater of (i) 50% of royalties received under the L&amp;T License from H Halston products or (ii) guaranteed minimum royalties. Provided that Lord &amp; Taylor is paying us at least $1,000,000 per quarter under the L&amp;T License, the remaining contractually guaranteed minimum royalties are equal to $0.75 million, $0.75 million, $1.5 million and $1.75 million for the twelve months ending January 31, 2018, 2019, 2020, and 2021, respectively. Royalties paid to HIP by us or on our behalf for the seventeen months ended January 31, 2017 were $0.19 million.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initial term of the H Halston License Agreement expires on December 31, 2019 unless sooner terminated or renewed. After the initial term, HIP shall be entitled to renew the H Halston License Agreement on three occasions, each for five (5) year terms, as long as HIP is in compliance with all terms and conditions of the agreement. HIP may terminate the agreement prior to the expiration of the initial term without penalties, fees or payment of future royalties upon 90 days’ notice prior to the second anniversary of the closing. In the event HIP exercises its early termination right, H Licensing shall pay to HIP a participation fee for each of the three following years in an amount not to exceed $4,000,000 ($5,000,000 if H Licensing distributes, or otherwise enters into any agreements for the distribution of products bearing the H Halston trademark in China). The participation fee, if any, may be paid in cash or shares of Xcel’s common stock based on the greater of $8.00 and the value weighted average price of the common stock for the five business days preceding 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QTR Licensing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developed a quick-time response (QTR) production platform designed to deliver short lead-time production capabilities of between four to eight weeks to our licensed retail partners, which currently include Lord &amp; Taylor, Hudson’s Bay, and Dillard’s. Under the licensing agreements in place with our department store retail partners, we provide design, marketing, production oversight, and sourcing advice, and in certain cases manage the supply chain on our partners’ behalf (although the licensees are responsible for purchasing products directly from the factories) in exchange for a combination of sales-based fees and guaranteed minimum fees.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L&amp;T License provides Lord &amp; Taylor the right to use our IMNYC, H Halston, C Wonder Limited, and Highline Collective trademarks to sell our respective branded products in any retail stores operated by Lord &amp; Taylor located in the United States of America, Canada, Luxembourg, Belgium, and Germany. The L&amp;T License provides Lord &amp; Taylor exclusive rights (subject to the rights of Dillard’s, Inc.) for certain categories under each brand, provided it must maintain minimum annual sales for each designated category. The initial term of the L&amp;T License expires January 31, 2021, subject to certain rights of Lord and Taylor to terminate the L&amp;T License sooner.</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On December 2, 2016, we entered into a license agreement with Dillard’s, Inc. (the “Dillard’s License”) to provide Dillard’s, Inc. with the right to use our IMNYC, H Halston, C Wonder Limited, and Highline Collective trademarks to sell our branded products in any retail stores operated by Dillard’s, Inc. located in the United States of America. The Dillard’s License provides Dillard’s exclusive rights (subject to the rights of Lord &amp; Taylor and Hudson’s Bay) for certain categories under each brand, as well as non-exclusive rights for certain other categories. The initial term of the Dillard’s License expires January 29,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Licensing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entered into numerous other licensing agreements for sales and distribution through the internet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Best Buy and Bed Bath &amp; Beyond.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in discussions with other potential licensees and strategic partners to license and/or co-brand the Mizrahi brands, Ripka brands, H Halston brands, and C Wonder brands for additional categories. In certain cases, we have engaged licensing agents to assist in the procurement of such licenses for which IM Brands, JR Licensing, H Licensing, CW Licensing,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guidance,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licensees currently sell our branded licensed products through brick-and-mortar retailers, internet websites,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Promotional Services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design and other services to certain of our licensees and, in some cases, to select brands owned by third parties. In particular, we provide all design services to QVC for products sold under the IM QVC Agreement, Ripka QVC Agreement, H QVC Agreement, C Wonder QVC Agreement, the LCNY Agreement (through July 31, 2016), and design services to Lord and Taylor under the L&amp;T License. This includes seasonal design guidance, product development and merchandising, product design and sample review and approvals through our in-house design organization. Additionally, the Company provides limited design services under the wholesale licenses which may include seasonal design guidance (such as style guides) and/or print and pattern development, for which certain of our licensees pay us fixed fees for such services as determined in their agreements. In general, the design of products under our wholesale licenses is expected to be completed by the licensees at our direction.</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certain cases, the Company provides promotional services to other brands or companies, which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include promotions with Hewlett Packard, Revlon, Johnson &amp; Johnson, and Kleenex.</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employs design and production oversight teams to provide the aforementioned services.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opened a full-price store and an outlet store under the Mizrahi brands in 2013 and 2014, respectively. In December 2014, we decided to close our retail stores. Accordingly, our retail operations have been reclassified as discontinued operations for all periods presented. Our e-commerce operations, which were previously reported as a component of retail operations, are reported as a component of our licensing business. See “Management’s Discussion and Analysis of Financial Condition and Results of Operations – Discontinued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provide social media marketing and other marketing and public relations support for our brands.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Given our ubiquitous-channel retail sales strategy focusing on the sale of branded products through various distribution channels (including internet, interactive television, and traditional brick-and-mortar sales channels), our marketing efforts currently focus on PR and fashion editorial,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w:t>
      </w:r>
    </w:p>
    <w:p>
      <w:pPr>
        <w:spacing w:after="0" w:line="2" w:lineRule="exact"/>
        <w:rPr>
          <w:sz w:val="20"/>
          <w:szCs w:val="20"/>
          <w:color w:val="auto"/>
        </w:rPr>
      </w:pPr>
    </w:p>
    <w:p>
      <w:pPr>
        <w:jc w:val="both"/>
        <w:ind w:firstLine="8"/>
        <w:spacing w:after="0" w:line="295" w:lineRule="auto"/>
        <w:tabs>
          <w:tab w:leader="none" w:pos="22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Facebook, (ii) Instagram, (iii) Twitter, (iv) Pinterest, (v) Snapchat, and (vi) blogs, videos, images, and other internet content that are all updated regularly. Our efforts also include promoting namesakes of our brands and our personalities through various media including television (such as </w:t>
      </w:r>
      <w:r>
        <w:rPr>
          <w:rFonts w:ascii="Arial" w:cs="Arial" w:eastAsia="Arial" w:hAnsi="Arial"/>
          <w:sz w:val="16"/>
          <w:szCs w:val="16"/>
          <w:i w:val="1"/>
          <w:iCs w:val="1"/>
          <w:color w:val="auto"/>
        </w:rPr>
        <w:t>Project Runway All-Stars</w:t>
      </w:r>
      <w:r>
        <w:rPr>
          <w:rFonts w:ascii="Arial" w:cs="Arial" w:eastAsia="Arial" w:hAnsi="Arial"/>
          <w:sz w:val="16"/>
          <w:szCs w:val="16"/>
          <w:color w:val="auto"/>
        </w:rPr>
        <w:t>), design for performances, and other events. We also work with QVC and the Hudson’s Bay Company to leverage their marketing resources,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platforms and related digital marketing campaigns, social media platforms, direct mail pieces, and public relations efforts.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agreements with QVC allow our brand celebrities and spokespersons to promote our non-QVC product lines and strategic partnerships under our brands through QVC’s programs, subject to certain parameters including the payment of a portion of our non-QVC revenues to QVC. We believe that this provides us with the ability to leverage QVC’s media platform (including television, internet, and social media) and QVC’s customer base of approximately 360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market the Mizrahi brands through www.isaacmizrahi.com, the Ripka brands through www.judithripka.com and C Wonder brands through www.cwonder.com. Through our websites, we are able to present the products under our brands to customers with branding that reflects each brand’s heritage and unique point-of-view.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brick-and-mortar, and internet distribution channels.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through its subsidiaries, owns and exploits the Mizrahi brands, which include the trademarks and brands Isaac Mizrahi, Isaac Mizrahi New York, and IsaacMizrahiLIVE; the Ripka brands, which include the trademarks and brands Judith Ripka LTD, Judith Ripka Collection, Judith Ripka Legacy, Judith Ripka, and Judith Ripka Sterling; two Halston-formative brands and trademarks, namely, H by Halston and H Halston; the C Wonder brands, which include the trademarks and brands C Wonder and C Wonder Limited; and the Highline Collective brand.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 by Halston and H Halston brands were acquired on December 22, 2014, but certain U.S. applications for registration that are based upon intent-to-use currently sit in the name of HIP (from whom we purchased the marks) until such time as the marks are put into use and assigned to us. In certain jurisdictions, certain H by Halston and H Halston trademark registrations or applications that we purchased (including but not limited to those based upon “intent to use”) may not yet be recorded in our name, due to laws governing the timing and nature of certain trademark assignments.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we had 86 full-time employees and 8 part-time employees. None of our employees are represented by a labor union.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4 for additional information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we had cash and cash equivalents of approximately $14.1 million. Although we believe that our existing cash and our anticipated cash flow from operations will be sufficient to sustain our operations at our current expense levels for at least 12 months subsequent to the date of the filing of this Annual Report on Form 10-K, we may require significant additional cash to expand our operations or acquire additional brands, although historically we have funded acquisitions with debt and equity financing.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with our more recently acquired brands.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acquired the H Halston brands in December 2014 and the C Wonder brands in July 2015. We only recently began to generate product sales through QVC under H Halston brands in September 2015 and under the C Wonder brands in March 2016. Since we only recently acquired the H Halston brands and C Wonder brands, we have limited experience operating and managing these brands. Operating and managing these brands and/or any future brands that we may acquire may require the expenditure of a significant amount of our time and resources and could negatively impact our results of operations.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Ripka brand name has been an established brand for over 20 years, and has been sold on QVC for over 10 years, we have only operated the Ripka brand since acquiring the brand approximately three years ago. Prior to our acquisition of the Ripka brands in April 2014, it was operated by a predecessor owner whose majority shareholder was Judith Ripka.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26, 2016, we entered into a new senior secured credit facility with Bank Hapoalim B.M., pursuant to which we entered into a $27.875 million term loan, which had an outstanding principal balance of $25.25 million as of December 31, 2016. In addition, previously we issued to IM Ready a promissory note in connection with our acquisition of the Mizrahi business, which we refer to as the IM Seller Note, which had an outstanding balance of $3.6 million as of December 31, 2016. Additionally, we issued to Ripka non-interest bearing promissory notes in connection with our acquisition of the Ripka brands, which we refer to as the Ripka Seller Notes, of which $0.5 million of the principal amount remained outstanding as of December 31, 2016. We also have contingent obligations associated with the acquisitions of the Ripka brands and the C Wonder brand, for which we have recorded $0.2 million and $2.9 million, respectively, as contingent obligations on our consolidated balance sheet as of December 31, 2016. The Ripka Seller Notes and the contingent obligation related to the C Wonder Brand may be payable in cash or common stock at our discretion. We may also assume or incur additional debt, including secured debt, in the future in connection with, or to fund, future acquisitions or for other operating needs.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secured by substantially all of our assets;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 and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74" w:gutter="0" w:footer="0" w:header="0"/>
        </w:sectPr>
      </w:pPr>
    </w:p>
    <w:bookmarkStart w:id="12" w:name="page13"/>
    <w:bookmarkEnd w:id="12"/>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In February 2017, our credit facility with Bank Hapoalim B.M, was amended to eliminate the minimum EBITDA (as defined in the credit facility) requirement of $9.5 million for the year ended December 31, 2016. Our EBITDA was $8.5 million for the year ended December 31, 2016. There can be no assurance that Bank Hapoalim B.M. will amend the credit facility in the future to adjust or eliminate covenants or waive our non-compliance or breach of a financial or other covenant in the future. Termination of any of the QVC Agreements – including the IM QVC Agreement, the Ripka QVC Agreement, the H QVC Agreement, and the C Wonder QVC Agreement – would also result in a default under our credit facility with Bank Hapoalim B.M. A debt default could significantly diminish the market value and marketability of our common stock and could result in the acceleration of the payment obligations under all or a portion of our indebtedness, or a renegotiation of our credit facility with Bank Hapoalim B.M. with more onerous terms and/or additional equity dilution. Since substantially all of our debt obligations are secured by our assets, upon a default, our lenders may be able to foreclose on our assets.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substantial portion of our revenues has been paid by QVC, through the QVC Agreements, and to a lesser extent for the LCNY brands through the design agreement with QVC related to the LCNY brand. During the years ended December 31, 2016 and 2015, QVC accounted for approximately 85% and 84%, respectively, of our revenues. Because we are dependent on these agreements with QVC for a significant portion of our revenues, if QVC were to have financial difficulties, or if QVC decides not to renew or extend its existing agreements with us, our revenue and cash flows could be reduced substantially. Our cash flow would also be significantly impacted if there were significant delays in our collection of receivables from QVC. Additionally, we have limited control over the programming that QVC devotes to our brands or its promotional sales with our brands (such as Today’s Special Value sales). If QVC reduces or modifies its programming or promotional sales related to our brands, our revenues and cash flows could be reduced substantially. In order to increase sales of a brand through QVC, we generally require additional television programming time dedicated to the brand by QVC. QVC is not required to devote any minimum amount of programming time for any of our brands.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LCNY Agreement expired on July 31, 2016. The current term of the IM QVC Agreement, which was renewed on July 2, 2013, expires on September 30, 2020, with automatic one-year renewal periods thereafter unless terminated by either party. The current term of the Ripka QVC Agreement expires on March 31, 2019, with automatic one-year renewal periods hereinafter unless terminated by either party. The current term of the H QVC Agreement expires on December 31, 2019, with automatic three-year renewal periods thereafter unless terminated by either party. The current term of the C Wonder QVC Agreement expires on January 1, 2021, with automatic three-year renewal periods thereafter unless terminated by either party. There can be no assurance that the agreements will be renewed upon expiration of the current terms, or that QVC will not terminate our licensing agreements.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business with QVC has grown since the IsaacMizrahiLIVE and Ripka brands were launched, there is no guarantee that they will continue to grow in the future. We also have a limited operating history with our H Halston and C Wonder brands.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agreements with QVC restrict us from selling products under our brands with certain retailers, or branded products we sell on QVC to any other retailer except certain interactive television channels in other territories approved by QVC, and provides QVC with a right to terminate the respective agreement if we breach these provisions.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most of our licenses and our QVC Agreements prohibit the sale of products under our brands to retailers who are restricted by QVC, and our license agreements with other interactive television companies prohibit such licensees from selling products to retailers restricted by QVC under the brands we sell on QVC outside of certain approved territories, one or more of our licensees could sell to a restricted retailer or territory, putting us in breach of our agreements with QVC and exposing us to potential termination by QVC. A breach of any of these agreements could also result in QVC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QVC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lose the services of Isaac Mizrahi, we may not be able to fully comply with the terms of our agreement with QVC, and it may result in significant reductions in the value of the Mizrahi brands and our prospects, revenues, and cash flows. Isaac Mizrahi is a key individual in our continued promotion of the Mizrahi brands and the principal salesperson of the Mizrahi brands on QVC. Failure of Isaac Mizrahi to provide services to QVC could result in a termination of the IM QVC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our other spokespersons for our other brands.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lose the services of a spokesperson, we may not be able to fully comply with the terms of our license agreements with QVC and The Shopping Channel, and it may result in significant reductions in the value of the brands and our prospects, revenues, and cash flows. Judith Ripka is the principal spokesperson of the Ripka brands on QVC and The Shopping Channel, and Cameron Silver is the principal salesperson of the H Halston brands on QVC. The failure of either of these spokespersons or our other spokespersons to provide spokesperson services to QVC or a breach of any representation, warranty or covenant by Ms. Ripka under the Ripka QVC Agreement or by Mr. Silver or our other spokespersons under their respective spokesperson agreements with QVC, combined with our failure to find an alternate host acceptable to QVC, could result in a termination of the respective QVC Agreement(s) which could trigger an event of default under our credit facility with Bank Hapoalim B.M. Although we have entered into employment agreements with our spokespersons, there is no guarantee that we will not lose their services. To the extent that any of their services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brands and our ability to market the brands, and could impede our ability to fully implement our business plan and future growth strategy, which would harm our business and prospects. Each spokesperson has retained certain rights to participate in outside business activities. Each of these individuals’ participation in these personal business ventures could limit their availability to us and affect their ability to perform as a spokesperson in accordance with their respective employment agreements. Finally, there is no guarantee that one of these individuals will not take an action that the consumer views as negative, which may harm our brands as well as our business and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restrictions under our agreement with The H Company IP, LLC, and do not have ownership over the H by Halston and H Halston trademarks for certain categories and territories.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 purchase agreement with The H Company IP, LLC, or HIP, pursuant to which we acquired our rights to the H by Halston and H Halston trademarks, contains certain limitations and restrictions, including restrictions on our ability to take the H Halston brands to a mass retailer (including Wal-Mart Stores, K-Mart, Sears, JC Penney’s, and Kohl’s), excludes the rights to fragrance categories under the H Halston brands, and restricts our ability to sign licenses or sell products in China. Although our business strategy for the H Halston brands does not include such prohibited actions, in the event that the H QVC License Agreement were terminated or other factors affected our ability to execute on our existing strategy, these limitations may restrict us from certain alternate strategies that we may otherwise pursue.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 Halston brands may be affected by the related Halston brands and businesses.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acquired the H Halston brands from HIP, which retained rights to the Halston Heritage, Halston, and certain other related brands. In addition, Elizabeth Arden owns certain rights in the H Halston brands related to fragrance categories. We believe that the businesses under these related brands currently add value to the H Halston brands, including creating customer awareness for the “Halston” name through marketing and premium product lines. Additionally, the asset purchase agreement and license agreement with HIP contain restrictions intended to prevent HIP or its successors from making changes to the business strategy under such related brands that could adversely affect our H Halston brands. However, a failure of the owners of the related Halston brands to properly operate their business, a re-positioning of the related Halston brands, or an action that breaches our agreements with HIP may have an adverse impact on our businesses under the H Halston brands.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These risks are further increased with respect to our exclusive sublicense of the H Halston trademark to HIP, as we are dependent upon the efforts and abilities of a sole licensor. The concurrent failure by several of our material licensees to meet their financial obligations to us could jeopardize our ability to meet the debt service coverage ratios required in connection with our debt facility or facilities. Further, such failure may impact our ability to make required payments with respect to such indebtedness. The failure to meet such debt service coverage ratios or to make such required payments would give our lenders the right to accelerate all obligations under our debt facility or facilities and foreclose on our trademarks, license agreements, and other related assets securing such notes.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dependent on continued market acceptance of our brands and any future brands we acquire and the products of our licensees.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our business under the Mizrahi brands, the Ripka brands, and the H Halston Brands, and to develop a licensing business under the C Wonder brands. If we fail to manage our expected future growth, our business and operating results could be materially harmed.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achieve growth in our existing brands and intend to seek new opportunities and international expansion through interactive television and licensing arrangements. The success of our company, however, will still remain largely dependent on our ability to build and maintain broad market acceptance of our brands and to contract with and retain key licensees and on our licensees’ ability to accurately predict upcoming fashion and design trends within their respective customer bases and fulfill the product requirements of their particular retail channels within the global marketplace.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connection with our QTR platform and business strategy, we have been redirecting certain licensed categories to new retail partners, and are subject to the risks relating to these partners' businesses.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L&amp;T License and Dillard’s License subject us to many risks. Pursuant to the respective agreements, we are managing the design and manufacturing oversight of products in an innovative quick time response supply chain for the brands described above. In the event we breach our agreement or, in certain cases, if our retail partner terminates an agreement with a supplier approved by us as a result of a breach or default by such supplier, our retail partner may terminate our agreement. The success of our brick-and-mortar licensing strategy is substantially dependent on the success of our agreements with Lord &amp; Taylor and Dillard’s, including the efforts of our retail partners and the suppliers and other third parties. We cannot assure you that this business or strategy will be successful. Failure to successfully implement this strategy may result in reduced revenues and cash flows and harm to our reputation.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Lord &amp; Taylor’s and Dillard’s stores are located in shopping malls. A continued substantial decline in mall traffic, the development of new shopping malls, the availability of locations within existing or new shopping malls, and the success of individual shopping malls may negatively impact our ability to maintain or grow our sales through the L&amp;T License and the Dillard’s License, which could have an adverse effect on our financial condition or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identify or consummate additional quality business opportunities, including potential licenses and new product lines and markets;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9"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there is no guarantee that our stockholders will achieve greater returns as a result of any future acquisitions we complete.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extent the Company seeks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The Company faces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reducing or delaying their sales and decreasing our potential royalty revenues.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raw materials, including as it relates to jewelry the price, availability and quality of gold, silver, and other precious and semi-precious metals and gemstones, used by them in their manufactured products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With respect to the H by Halston and H Halston brands, certain U.S. applications for registration that are based upon intent-to-use currently are held in the name of HIP, from whom we purchased the marks, until such time as the marks are put into use and assigned to us.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acquired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as a marketer and licensor of intellectual property is largely dependent upon the efforts of Robert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key executives and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D’Loren is the Chairman of the board of directors of the Company. The failure of Mr. D’Loren to continue in his duties as Chairman of our board of directors would result in a default under the credit facility with Bank Hapoalim B.M.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sublease our former corporate offices and operations facility for the entire remaining term of the related lease.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contractually obligated through February 28, 2022 to make lease payments totaling approximately $5 million related to our former corporate offices and operations facility at 475 Tenth Avenue, 4th Floor, New York, New York. We have currently subleased this office space to a third-party subtenant through December 12, 2018, with such sublease containing a renewal option to extend the term through February 27, 2022. However, there can be no assurance that our subtenant will exercise this renewal option. If our subtenant does not renew their sublease, there can be no assurance that we will be able to find a replacement subtenant or subtenants for all or a portion of the remaining lease term. Failure to obtain a subtenant for the remainder of the term at a rent equal to our remaining obligation to our landlord would negatively impact our future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trademarks and other intangible assets are subject to impairment charges under accounting guidelines.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assets, including our trademarks and goodwill represent a substantial portion of our assets. Under accounting principles generally accepted in the United States of America (“GAAP”), indefinite lived intangible assets, including our trademarks and goodwill,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Definite lived intangible assets are amortized over their estimated useful lives. Any write-down of intangible assets resulting from future periodic evaluations would, as applicable, either decrease our net income or increase our net loss and those decreases or increases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have never been subject of a cyber-attack, threats of cyber-attacks have expanded significantly across industries. Given the potential material impact on operations, any failure to protect the security of these digital technologies from internal and external threat could disrupt services and lead to misusage and “leakage” that could lead to significant capital outlays.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economic factors beyond our control may impact our forecasts and actual performance.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 ended December 31, 2016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and to reduce the amount of information provided in reports filed with the SEC. We cannot be certain whether the reduced disclosure requirements applicable to emerging growth companies will make our common stock less attractive to investors.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and we will remain an “emerging growth company” until the earliest to occur of (i) the last day of the fiscal year during which our total annual revenues equal or exceed $1 billion (subject to adjustment for inflation), (ii) December 31, 2017, (iii) the date on which we have, during the previous three-year period, issued more than $1 billion in non-convertible debt, or (iv) the date on which we are deemed a “large accelerated filer” under the Securities Exchange Act of 1934, as amended, or the Exchange Act. For so long as we remain an “emerging growth company” as defined in the Jumpstart Our Business Startups Act of 2012, or the JOBS Act, we may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whether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D’Loren as proxy. Also, pursuant to separate voting agreements, each of Ripka and HIP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59% of our voting securities as of December 31, 2016.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or non-existent. This situation is attributable to a number of factors, including the fact prior to September 2011, we did not have an operating business, and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reduce the market price of our common stock.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common stock closed at $3.85 per share on March 9, 2017, no assurance can be given that the per share price of our common stock will maintain such levels or that our stock will not be subject to these “penny stock” rules in the future.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Ripka Seller Notes and to satisfy obligations to Burch Acquisition, LLC (the C Wonder Seller) if certain conditions, including royalty revenue targets, are met.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we had outstanding warrants and options to purchase 4,402,743 shares of our common stock, of which warrants to purchase 364,428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two times the highest amount of annual excess royalties for C Wonder brand earned through June 30, 2019 to the C Wonder brand’s sellers. As of December 31, 2016, we estimated the fair value of the C Wonder earn-out payment to be $2.85 million.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also satisfy our obligations under the $0.59 million remaining principal amount Ripka Seller Notes payable to Ripka by issuing shares of common stock. The number of shares which we issue to satisfy our obligations under the Ripka Seller Notes will be based on the future market price of our common stock and are currently not determinable, provided that there is a floor to the share price to satisfy the Ripka Seller Notes of $7.00 per share. The maximum number of shares that could be issued in exchange for the remaining Ripka Seller Notes is 84,923 shares.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we had an aggregate of 6,127,84 shares of common stock available for grants under our Plan to our directors, executive officers, employees, and consultants. Issuances of common stock pursuant to the exercise of stock options or other stock grants or awards which may be granted under our Plan will dilute your interest in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Historically, the SEC has taken the position that Rule 144 under the Securities Act of 1933, as amended, or the Securities Act, is not available for the resale of securities initially issued by companies that are, or previously were, shell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lease and maintain our corporate offices and operations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lease approximately 18,500 square feet of office space at 475 Tenth Avenue, 4th Floor, New York, New York. This location represents our former corporate offices and operations facility, which we relocated to our current location described above in June 2016. This lease shall expire on February 28, 2022. We have subleased this office space to a third-party subtenant through December 12, 2018, with a renewal option to extend the sublease term through February 27, 2022.</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July 31, 2015, our common stock is listed on the NASDAQ Global Market, under the trading symbol “XELB.” Prior to July 31, 2015, our common stock was quoted on the Over-the-Counter Bulletin Board (OTCBB) and was also quoted for trading on the OTCQX tier of the OTC Markets.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sets forth the range of quarterly high and low sales prices for our common stock in 2016 and 2015. For data prior to July 31, 2015, the quotations detailed below reflect inter-dealer prices, without retail mark-up, mark-down, or commission, and may not represent actual transactions: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First Quarter</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Third Quarter</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First Quarter</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Third Quarter</w:t>
            </w:r>
          </w:p>
        </w:tc>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the number of our stockholders of record was 565 (excluding beneficial owners and any shares held in street name or by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47"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total of 13,000,000 shares of common stock are eligible for issuance under the Plan, and the maximum number of shares of common stock with respect to which incentive stock options may be granted under the Plan is 5,000,000.</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(the “Board”) or a committee consisting of two or more members of the Board of Directors appointed by the Board (for purposes of this description, any such committee, a “Committee”).</w:t>
      </w:r>
    </w:p>
    <w:p>
      <w:pPr>
        <w:jc w:val="both"/>
        <w:ind w:left="340" w:hanging="332"/>
        <w:spacing w:after="0" w:line="273"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left="34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4"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assumes a 0% dividend yield.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as of December 31, 2016 regarding compensation plans under which our equity securities are authorized for issuance.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Plan Category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Plans (1)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 Pursuant to our 2011 Equity Incentive Plan.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Remaining Available for</w:t>
            </w:r>
          </w:p>
        </w:tc>
      </w:tr>
      <w:tr>
        <w:trPr>
          <w:trHeight w:val="216"/>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 be Issued Upon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Exercise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 of</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Outstanding Options,</w:t>
            </w:r>
          </w:p>
        </w:tc>
        <w:tc>
          <w:tcPr>
            <w:tcW w:w="188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Outstanding Options,</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30"/>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Warrants and Rights</w:t>
            </w:r>
          </w:p>
        </w:tc>
        <w:tc>
          <w:tcPr>
            <w:tcW w:w="120" w:type="dxa"/>
            <w:vAlign w:val="bottom"/>
          </w:tcPr>
          <w:p>
            <w:pPr>
              <w:spacing w:after="0"/>
              <w:rPr>
                <w:sz w:val="19"/>
                <w:szCs w:val="19"/>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Warrants and Rights</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30"/>
        </w:trPr>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23"/>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-162560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5080" w:space="720"/>
            <w:col w:w="5620"/>
          </w:cols>
          <w:pgMar w:left="240" w:top="908" w:right="239" w:bottom="1440" w:gutter="0" w:footer="0" w:header="0"/>
          <w:type w:val="continuous"/>
        </w:sect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31, 2017, we issued an aggregate of 78,334 shares of common stock, of which 39,167 shares vested immediately and 39,167 shares will vest on January 31, 2018, to Jones Texas, Inc., a company wholly-owned by Edward Jones, III, who is a director of our Company, as partial consideration under a consulting agreement. This issuance was not registered under the Securities Act and qualified for an exemption from registration under Section 4(2) of the Securities Act of 1933, as amended, since the issuance of securities by us did not involve a public offering. The offering was not a “public offering” as defined in Section 4(2) due to the insubstantial number of persons involved, size of the offering, manner of the offering, and number of securities offered.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common stock repurchased by us during the years ended December 31, 2016 and 2015.</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 2016 to March 31, 2016 (i)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1, 2016 to September 30, 2016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November 1, 2016 to November 30, 2016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2016 to December 31, 2016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September 1, 2015 to September 30, 2015 (i)</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1, 2015 to December 31, 2015 (ii)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year ended December 31, 2015</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88"/>
              </w:rPr>
              <w:t>Total Number of Shares</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of</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r>
      <w:tr>
        <w:trPr>
          <w:trHeight w:val="21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Purchased as</w:t>
            </w:r>
          </w:p>
        </w:tc>
      </w:tr>
      <w:tr>
        <w:trPr>
          <w:trHeight w:val="21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Shares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Part of a Publicly</w:t>
            </w:r>
          </w:p>
        </w:tc>
      </w:tr>
      <w:tr>
        <w:trPr>
          <w:trHeight w:val="216"/>
        </w:trPr>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Price per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Announced</w:t>
            </w:r>
          </w:p>
        </w:tc>
      </w:tr>
      <w:tr>
        <w:trPr>
          <w:trHeight w:val="230"/>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Share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Plan or Program</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5.80</w:t>
            </w:r>
          </w:p>
        </w:tc>
        <w:tc>
          <w:tcPr>
            <w:tcW w:w="220" w:type="dxa"/>
            <w:vAlign w:val="bottom"/>
          </w:tcPr>
          <w:p>
            <w:pPr>
              <w:spacing w:after="0"/>
              <w:rPr>
                <w:sz w:val="16"/>
                <w:szCs w:val="16"/>
                <w:color w:val="auto"/>
              </w:rPr>
            </w:pPr>
          </w:p>
        </w:tc>
        <w:tc>
          <w:tcPr>
            <w:tcW w:w="1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rPr>
              <w:t>182,100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32,928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12"/>
        </w:trPr>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82,825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-1062990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-779780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-462280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-179705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-1345565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904" w:right="239" w:bottom="1440" w:gutter="0" w:footer="0" w:header="0"/>
          <w:type w:val="continuous"/>
        </w:sectPr>
      </w:pPr>
    </w:p>
    <w:p>
      <w:pPr>
        <w:spacing w:after="0" w:line="2" w:lineRule="exact"/>
        <w:rPr>
          <w:sz w:val="20"/>
          <w:szCs w:val="20"/>
          <w:color w:val="auto"/>
        </w:rPr>
      </w:pPr>
    </w:p>
    <w:p>
      <w:pPr>
        <w:ind w:left="340" w:hanging="332"/>
        <w:spacing w:after="0" w:line="25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13 to the audited consolidated financial statements, Related Party Transactions.</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5" w:name="page26"/>
    <w:bookmarkEnd w:id="25"/>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 ended December 31, 2016.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brand management and media company engaged in the design, production, licensing, marketing, and direct to consumer sales of branded apparel, footwear, accessories, jewelry, home goods, and other consumer products, and the acquisition of dynamic consumer lifestyle brands. Presently, our brand portfolio consists of the Isaac Mizrahi, Judith Ripka, H Halston, C Wonder, and Highline Collective brands. We also managed and designed the Liz Claiborne New York brand through July 31, 2016. Our in-house designers and marketing executives work with our licensees to help design, promote, and elevate each brand within their respective distribution channels. We market and promote our brands by employing a highly-differentiated ubiquitous-channel sales strategy, which includes promotion through interactive television, internet, and traditional brick-and-mortar retail distribution channels, delivering a unique brand experience that fosters increased consumer engagement.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proprietary platform is strategically positioned to monetize the convergence of shopping, entertainment, and social media. By leveraging the reach and media presence of our interactive television partners and by developing rich online video and social media content under our brands, we drive increased customer engagement and generate sales across our channels of distribution. Our strong relationships with leading retailers, such as Lord &amp; Taylor, Hudson’s Bay, and Dillard’s, and interactive television companies, such as QVC and The Shopping Channel, enable us to reach consumers in over 360 million homes worldwide.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opened a full-price store and an outlet store under the Mizrahi brands in 2013 and 2014, respectively. In December 2014, we decided to close our retail stores. Accordingly, our retail operations have been reclassified as discontinued operations for all periods presented. Our e-commerce operations, which were previously reported as a component of retail operations, are reported as a component of our licensing business. E-commerce operations are in the process of being phased out.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licensing model, revenue is generated from licenses and is based on reported sales of licensed products bearing our trademarks, at royalty or other fee-based rates specified in the license agreements. These agreements are also subject to contractual minimum levels. Design and service fees are recorded and recognized in accordance with the terms and conditions of each service contract, including meeting our obligations and providing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to the licensee’s sales. Advance royalty payments are recorded as deferred revenue at the time payment is received and recognized as revenue as earned. Prior to the closing of our retail stores, we recognized revenue from our retail stores upon the sale of our products to retail consumers, net of estimated returns.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follow Financial Accounting Standards Board, or FASB, Accounting Standard Codification, or ASC Topic 350, “Intangibles - Goodwill and Other.” Under this standard, goodwill and indefinite lived intangible assets are not amortized, but are required to be assessed for impairment at least annually. Under this standard, we annually have the option to first assess qualitatively whether it is more likely than not that there is an impairment, or perform a quantitative analysis. Our definite lived intangible assets are amortized over their estimated useful lives. The Company performed its annual quantitative analysis of goodwill and intangible assets at December 31, 2016, and determined that these assets were not impaired.</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Restricted stock awards are valued using the fair value of our common stock at the date the common stock is granted. 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a contingent obligation in connection with the acquisition of Judith Ripka Trademarks in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recognized a contingent obligation in 2015 in connection with our acquisition of the C Wonder Trademarks. ASC 805-50-30 requires that when the fair value of the assets acquired are equal to the consideration paid, any contingent obligations shall be recognized based upon the Company’s best estimate of the amount that will be paid to settle the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2014, the FASB issued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The FASB subsequently issued amendments providing additional guidance, clarification, and practical expedients as follows:</w:t>
      </w:r>
    </w:p>
    <w:p>
      <w:pPr>
        <w:spacing w:after="0" w:line="5" w:lineRule="exact"/>
        <w:rPr>
          <w:sz w:val="20"/>
          <w:szCs w:val="20"/>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2015, the FASB delayed the effective date of this standard by one year, such that the new revenue guidance is now effective for fiscal years beginning after December 15, 2017 (i.e., calendar years beginning on January 1, 2018), and interim periods therein.</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2016, the FASB issued Accounting Standards Update No. 2016-10, “Revenue from Contracts with Customers (Topic 606): Identifying Performance Obligations and Licensing,” which amends certain aspects of the guidance in ASU 2014-09 related to identifying performance obligations and applying the new revenue guidance to licensing transactions.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May 2016, the FASB issued Accounting Standards Update No. 2016-12, “Revenue from Contracts with Customers (Topic 606): Narrow-Scope Improvements and Practical Expedients,” which addresses topics of collectability, presentation of sales tax collected from customers, non-cash consideration, contract modifications and completed contracts at transition, and transition disclosures.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2016, the FASB issued Accounting Standards Update No. 2016-20, “Technical Corrections and Improvements to Topic 606, Revenue from Contracts with Customers,” to provide further clarification on various elements of the new revenue guidance.</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We are currently evaluating the method and the impact that the adoption of these ASUs will have on our consolidated financial statements and disclosures. Based upon our preliminary assessment and initial evaluation, we do not currently expect that the adoption of these ASUs will have a material impact on the measurement or timing of our revenue recognition.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We are currently evaluating the impact that the adoption of ASU 2016-02 will have on our consolidated financial statements and disclosures.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the FASB issued Accounting Standards Update No. 2016-15, “Classification of Certain Cash Receipts and Cash Payments” (“ASU 2016-15”). ASU 2016-15 provides guidance and clarification regarding the presentation and classification on the statement of cash flows for eight specific cash flow issues, including:</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prepayment and extinguishment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settlement of zero-coupon (or insignificant coupon interest rate)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settlement of corporate-owned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separately identifiable cash flows / application of predominance principle.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 accounting guidance is effective for public companies for fiscal years beginning after December 15, 2017 (i.e., calendar years beginning on January 1, 2018), including interim periods within those fiscal years. Entities must apply the guidance retrospectively to all periods presented but may apply it prospectively from the earliest date practicable if retrospective application would be impracticable. Early adoption is permitted, provided all amendments are adopted in the same period. We do not anticipate that the adoption of ASU 2016-15 will have a material impact on our consolidated financial statements when this guidance is adopted in 2018.</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Accounting Standards Update No. 2017-04, “Simplifying the Test for Goodwill Impairment” (“ASU 2017-04”). ASU 2017-04 eliminates Step 2 of the goodwill impairment test, which requires a hypothetical purchase price allocation based on the fair value of individual assets and liabilities of a reporting unit in order to measure the amount of a goodwill impairment. Instead, after the adoption of ASU 2017-04, goodwill impairment will be measured as the amount by which a reporting unit’s carrying value exceeds its fair value, not to exceed the carrying amount of goodwill. This new accounting guidance shall be applied prospectively, and is effective for public companies for fiscal years beginning after December 15, 2019 (i.e. calendar years beginning on January 1, 2020). Early adoption is permitted for any goodwill impairment tests performed on testing dates after January 1, 2017. We do not anticipate that the adoption of ASU 2017-04 will have a material impact on our consolidated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the year ended December 31, 2016 (the “Current Year”), and the year ended December 31, 2015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Current Year total revenues increased approximately $5.03 million to $32.75 million from $27.72 million for the Prior Year. This increase was attributable to increases in net licensing revenues of approximately $5.20 million, partially offset by declines in net e-commerce sales of $0.17 million.</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net licensing revenues for the Current Year as compared with the Prior Year was primarily due to (i) higher revenues from our interactive television business of approximately $5.86 million, driven by acquisitions made in late 2014 and 2015, and (ii) increased revenues recognized from new strategic license agreements entered into in 2015 and 2016 of approximately $0.63 million. These increases were partially offset by a decrease in revenue of approximately $1.29 million associated with the management and design of the LCNY brand, for which our contract ended in July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net e-commerce sales from the Prior Year is the result of management’s decision to phase out of e-commerce.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Current Year was $32.56 million, compared with $27.45 million for the Prior Year. The increase in gross profit was primarily attributable to the increase in net licensing revenues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expenses totaled $31.10 million for the Current Year, compared with $24.28 million for the Prior Year. The increase of approximately $6.82 million was primarily related to an increase in compensation-related expenses (including stock-based compensation) of approximately $3.93 million, an increase in design and marketing costs of approximately $0.80 million, and an increase in other selling, general and administrative expenses of approximately $1.24 million. These increases in expenses were the result of increased staffing and scaling of our operations and infrastructure in order to support (i) the C Wonder Brand, which we acquired in July 2015 and which began selling on QVC in March 2016, (ii) the development and operation of our quick-time-response or short lead-time “virtual vertical” production platform, and (iii) launch and related ramp-up of the IMNYC Isaac Mizrahi, H Halston, and Highline Collective brands at Lord &amp; Taylor and Hudson’s Bay department stores in April 2016.</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Year operating expenses also included non-recurring charges of $0.67 million incurred in connection with the exit from our former leased office facilities.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depreciation and amortization expense of approximately $0.18 million was primarily related to the amortization of the C Wonder trademarks acquired in July 2015, partially offset by certain other intangible assets becoming fully amortized in 2015 (see Note 3 to Notes to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income for the Current Year consisted of a $3.41 million gain on the reduction of contingent obligations. This gain was attributable to an agreement entered into with the sellers of the Ripka brand on December 21, 2016, which amended the terms of the Ripka Earn-Out. Under this agreement, the maximum amount of earn-out consideration was reduced to $0.38 million, of which $0.18 million was payable in cash upon the execution of the amendment, and the remaining $0.20 million payable based upon the Ripka brands achieving at least $6 million of net royalty income from QVC during each of the 12-month periods ending on March 31, 2018 and 2019. The reduction of the Ripka Earn-Out liability from its previous carrying value of $3.78 million to $0.38 million resulted in a gain on reduction of contingent obligations in the Current Year of approximately $3.41 million.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for the Prior Year consisted of a $3.0 million gain on the reduction of contingent obligations, partially offset by a $1.37 million loss on extinguishment of debt. The gain on the reduction of contingent obligations in the Prior Year was a result of the reduction in the fair value of our contingent obligation to the seller of the Isaac Mizrahi Brand. This reduction in the Earn-Out Obligation for the Prior Year was based on a shortfall of achieving minimum net royalty income related to the Isaac Mizrahi business for the twelve months ended September 30, 2015. The loss on extinguishment of debt in the Prior Year was due to our satisfaction of $5.40 million principal amount of Ripka Seller Notes by issuing 600,001 shares of our common stock in March and April 2015. The maturity date of the Ripka Seller Notes was originally March 31, 2019. The carrying value, net of the discount, of the Ripka Seller Notes at the redemption date was $4.03 million, resulting in a loss of $1.37 million.</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and finance expense for the Current Year increased by approximately $0.05 million to $1.85 million, compared with $1.80 million in the Prior Year. This increase was primarily due to the higher interest rate on our term debt following the February 2016 refinancing (as the term debt interest rate was converted from a variable rate of approximately 4.1% to a fixed rate of 5.1%) and fees associated with the refinancing, largely offset by lower interest expense following the satisfaction of $5.40 million principal amount of the Ripka Seller Notes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the Current Year was approximately 10% resulting in a $0.32 million income tax provision. During the Current Year, the Company recorded a $3.41 million gain on the reduction of contingent obligations related to the acquisition of the Ripka Brand, partially offset by recurring permanent differences.This gain was not subject to tax and was therefore treated as a discrete item. Based on the amount of income from continuing operations before income taxes compared to the permanent differences, the effective rate decreased by 24%.</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the Prior Year was approximately 5%, which resulted in a $0.16 million income tax provision. For the Prior Year, the Company recorded a $3.00 million gain on the reduction of contingent obligations related to the acquisition of the Isaac Mizrahi Brand, partially offset by recurring permanent differences. This gain was not subject to tax and was therefore treated as a discrete item. Based on the amount of income from continuing operations before income taxes compared to the permanent differences, the effective rate decreased by 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from discontinued operations, net, of $0.03 million in the Current Year was primarily attributable to the reversal of an unutilized reserve associated with our retail operations, partially offset by an income tax provision of $0.02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from discontinued operations, net, of $0.27 million in the Prior Year was related to our retail operations and was primarily attributable to compensation expense, other general and administrative expenses, and wind down costs associated with the closing of our retail stores, partially offset by an income tax benefit of $0.20 million. These wind down and closure activities were essentially completed by the end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net income of $2.74 million for the Current Year, compared with net income of $2.57 million for the Prior Year, attributable to the factors stated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non-GAAP net income of $4.94 million, or $0.26 per share (“non-GAAP diluted EPS”) based on 19,044,749 weighted average shares outstanding for the Current Year, compared with non-GAAP net income of $6.27 million, or $0.36 per share based on 17,223,240 weighted average shares outstanding for the Prior Year. Non-GAAP net income is a non-GAAP unaudited term, which we define as net income, exclusive of stock-based compensation, non-cash interest expense from discounted debt related to acquired assets, gain on the reduction of contingent obligations, loss on extinguishment of debt, non-recurring facility exit charges, and net income or loss from discontinued operations. Non-GAAP net income and non-GAAP diluted EPS measures do not include the tax effect of the aforementioned adjusting items, due to the nature of these items and the Company’s tax strategy.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Adjusted EBITDA of approximately $8.52 million for the Current Year, compared with Adjusted EBITDA of approximately $9.30 million for the Prior Year. Adjusted EBITDA is a non-GAAP unaudited measure, which we define as net income before stock-based compensation, interest expense and other financing costs, loss on extinguishment of debt, gain on the reduction of contingent obligations, income taxes, other state and local franchise taxes, depreciation and amortization, non-recurring facility exit charges, and net income or loss from discontinued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100" w:type="dxa"/>
            <w:vAlign w:val="bottom"/>
            <w:gridSpan w:val="8"/>
          </w:tcPr>
          <w:p>
            <w:pPr>
              <w:ind w:left="2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1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Year Ended December 31,</w:t>
            </w:r>
          </w:p>
        </w:tc>
      </w:tr>
      <w:tr>
        <w:trPr>
          <w:trHeight w:val="223"/>
        </w:trPr>
        <w:tc>
          <w:tcPr>
            <w:tcW w:w="58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63"/>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diluted EPS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60" w:type="dxa"/>
            <w:vAlign w:val="bottom"/>
            <w:tcBorders>
              <w:bottom w:val="single" w:sz="8" w:color="CCEEFF"/>
            </w:tcBorders>
          </w:tcPr>
          <w:p>
            <w:pPr>
              <w:spacing w:after="0"/>
              <w:rPr>
                <w:sz w:val="22"/>
                <w:szCs w:val="22"/>
                <w:color w:val="auto"/>
              </w:rPr>
            </w:pPr>
          </w:p>
        </w:tc>
      </w:tr>
      <w:tr>
        <w:trPr>
          <w:trHeight w:val="197"/>
        </w:trPr>
        <w:tc>
          <w:tcPr>
            <w:tcW w:w="58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Non-GAAP diluted weighted average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19,044,749</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17,223,240</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(our most directly comparable financial measure presented in accordance with GAAP) to non-GAAP diluted weighted average shares outstanding:</w:t>
      </w:r>
    </w:p>
    <w:p>
      <w:pPr>
        <w:spacing w:after="0" w:line="39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2060" w:type="dxa"/>
            <w:vAlign w:val="bottom"/>
            <w:gridSpan w:val="5"/>
          </w:tcPr>
          <w:p>
            <w:pPr>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59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18,625,670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16,151,163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414,131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946,902</w:t>
            </w:r>
          </w:p>
        </w:tc>
        <w:tc>
          <w:tcPr>
            <w:tcW w:w="40" w:type="dxa"/>
            <w:vAlign w:val="bottom"/>
          </w:tcPr>
          <w:p>
            <w:pPr>
              <w:spacing w:after="0"/>
              <w:rPr>
                <w:sz w:val="18"/>
                <w:szCs w:val="18"/>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125,175</w:t>
            </w:r>
          </w:p>
        </w:tc>
        <w:tc>
          <w:tcPr>
            <w:tcW w:w="40" w:type="dxa"/>
            <w:vAlign w:val="bottom"/>
            <w:shd w:val="clear" w:color="auto" w:fill="CCEEFF"/>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Non-GAAP diluted weighted average shares outstanding</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19,044,749</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17,223,240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10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(Income) loss from discontinued operations, net</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December 31, 2016 and 2015, our cash and cash equivalents were $14.13 million and $16.86 million, respectively. During the Prior Year, we consummated a public offering of our common stock that resulted in approximately $16.11 million in net cash proceeds after underwriting discounts, commissions, and other expenses of the equity offering (See Note 7 to Notes to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December 31, 2016 and December 31, 2015 included $1.11 of cash deposited with Bank Hapoalim B.M. (“BHI”) as collateral for an irrevocable standby letter of credit associated with the lease of our current corporate office and operating facilities at 1333 Broadway, New York City. Restricted cash at December 31, 2016 also included $0.40 million of cash held as a security deposit for the sublease of our former corporate offices at 475 Tenth Avenue, New York City by us to a third party subtenant.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that existing cash and operating cash flows will be adequate to meet our operating needs, debt service obligations (including debt service under the Loan Agreement), and capital expenditure needs, for at least the twelve months subsequent to the filing date of this Annual Report on Form 10-K. We are dependent on our licensees for substantially all of our revenues, and there is no assurance that the licensees will perform as projected.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operating model does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 related to the acquisition of the C Wonder Brand (see Notes 3 and 6 to Notes to Consolidated Financial Statements) is payable in stock and/or cash, at our discretion. Payment of this obligation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working capital (current assets less current liabilities) was $11.53 million and $11.97 million as of December 31, 2016 and 2015, respectively. Commentary on components of our cash flows from continuing operations for the Current Year compared with the Prior Year is set forth below. Working capital as of December 31, 2016 included $6.97 million of accounts receivable; substantially all of this balance was collected subsequent to year-end.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from continuing operations was approximately $7.92 million and $3.19 million in the Current Year and Prior Year,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Year’s cash provided by operating activities was primarily due to net income of $2.74 million plus non-cash expenses of $4.14 million and net change in operating assets and liabilities of approximately $1.07 million, partially offset by net income from discontinued operations of approximately $0.03 million. Non-cash expenses mainly consisted of $4.73 million of stock-based compensation, $1.56 million of depreciation and amortization, a non-cash property exit charge of $0.65 million, $0.17 million of deferred taxes, and non-cash interest and other finance costs of $0.45 million, partially offset by a $(3.41) million gain on the reduction of contingent obligations. The net change in operating assets and liabilities was primarily driven by changes in other liabilities associated with leases.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97" w:lineRule="auto"/>
        <w:rPr>
          <w:sz w:val="20"/>
          <w:szCs w:val="20"/>
          <w:color w:val="auto"/>
        </w:rPr>
      </w:pPr>
      <w:r>
        <w:rPr>
          <w:rFonts w:ascii="Arial" w:cs="Arial" w:eastAsia="Arial" w:hAnsi="Arial"/>
          <w:sz w:val="16"/>
          <w:szCs w:val="16"/>
          <w:color w:val="auto"/>
        </w:rPr>
        <w:t>The Prior Year’s cash provided by operating activities was primarily due to net income of $2.57 million plus non-cash expenses of $4.22 million and the net loss from discontinued operations of $0.27 million, partially offset by the net change in operating assets and liabilities of $(3.87) million. Non-cash expenses mainly consisted of $4.64 million of stock-based compensation, $1.38 million of depreciation and amortization, non-cash interest and other finance costs of $0.54 million, and loss on extinguishment of debt of $1.37 million, partially offset by $(0.71) million of tax benefits and a $(3.00) million gain on the reduction of contingent obligations. The net change in operating assets and liabilities was primarily driven by changes in accounts receivable.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Current Year was approximately $2.76 million, compared with approximately $4.13 million in the Prior Year.</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Year net cash used in investing activities was primarily attributable to $2.16 million of capital expenditures associated with leasehold improvements, furniture and fixtures, and equipment for our new corporate offices and operations facility; a $0.88 million disbursement for a loan made in exchange for a promissory note receivable; and $0.10 million of investment in a third-party unconsolidated affiliate. These outflows were partially offset by $0.40 million of cash received as a security deposit for the sublease of our former corporate offices to a third party subtenant.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Prior Year, net cash used in investing activities was primarily attributable to cash consideration paid for the acquisition of the C Wonder Brand of $3.59 million and capital expenditures of $0.53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Current Year was approximately $7.49 million, compared with net cash provided by financing activities of $10.27 million in the Prior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for the Current Year was primarily attributable to payments on our term debt obligations of $4.00 million, payments on our IM Seller Note obligation of $1.50 million, and shares repurchased including vested restricted stock in exchange for withholding taxes of $1.43 million. Also contributing to the net cash used in financing activities for the Current year were the final payment of the QVC Earn-Out obligation of $0.25 million, a payment of $0.18 million made on the Ripka Earn-Out obligation, and payment of deferred finance costs of $0.15 million.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for the Prior Year was approximately $10.27 million, which was primarily attributable to the $16.11 million of net proceeds from our public offering in July 2015, as well as tax benefits from vested stock grants and exercised options of $0.31 million. These cash inflows were partially offset by (i) $3.26 million of repayments on long-term debt, (ii) $2.19 million of payments on installment obligations related to the acquisition of the Ripka Brand, and (iii) $0.75 million of repurchased shares of restricted stock that had vested.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2013, IM Brands, LLC (“IM Brands”) entered into a $13 million five year term loan with BHI (as amended, the “IM Term Loan”). The IM Term Loan was secured by all of the assets of IM Brands and the Company’s membership interest in IM Brands and bore interest at an annual fixed rate of 4.44%, payable quarterly in arrears each calendar quarter.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2014, JR Licensing, LLC (“JR Licensing”) entered into a $9 million five year term loan with BHI (as amended, the “JR Term Loan”). The JR Term Loan was secured by all of the assets of JR Licensing and a guarantee from the Company secured by a pledge of the Company’s membership interest in JR Licensing and by a guarantee from IM Brands, secured by a pledge of all of IM Brands’ assets. The JR Term Loan bore interest at an annual variable rate of either LIBOR plus 3.5% or Prime plus 0.50%, at JR Licensing’s option, payable, on the last business day of the applicable interest period or quarterly in arrears on the first day of each calendar quarter, respectively.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2014, H Licensing, LLC (“H Licensing”) entered into a $10 million, five year term loan with BHI (“H Term Loan”). The H Term Loan was secured by (i) all of the assets of H Licensing, (ii) a guarantee by the Company, secured by a pledge of the Company’s membership interest in H Licensing,</w:t>
      </w:r>
    </w:p>
    <w:p>
      <w:pPr>
        <w:jc w:val="both"/>
        <w:ind w:firstLine="8"/>
        <w:spacing w:after="0" w:line="302" w:lineRule="auto"/>
        <w:tabs>
          <w:tab w:leader="none" w:pos="31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guarantee from IM Brands, secured by a pledge of all of the assets of IM Brands, and (iv) a guarantee from JR Licensing, secured by a pledge of all of the assets of JR Licensing. The H Term Loan bore interest at an annual variable rate, as elected by H Licensing, of LIBOR plus 3.50% or Prime rate plus 0.50%, payable on the last business day of the applicable interest period or quarterly in arrears on the first day of each calendar quarter, respectively.</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and the financial institutions party thereto as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On February 24, 2017, Xcel and BHI amended the terms of the Loan Agreement to increase principal payments for the year ending December 31, 2017 by a total of $1 million, decrease principal payments for the year ending December 31, 2021 by $1 million, and eliminate the minimum EBITDA covenant requirement for the year ended December 31, 2016. There were no changes to the total principal balance, interest rate, maturity date, or other terms of the Loan Agreement.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The aggregate remaining annual principal payments under the Xcel Term Loan, as amended,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Amount of</w:t>
            </w:r>
          </w:p>
        </w:tc>
      </w:tr>
      <w:tr>
        <w:trPr>
          <w:trHeight w:val="230"/>
        </w:trPr>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w:t>
            </w:r>
          </w:p>
        </w:tc>
        <w:tc>
          <w:tcPr>
            <w:tcW w:w="40" w:type="dxa"/>
            <w:vAlign w:val="bottom"/>
            <w:shd w:val="clear" w:color="auto" w:fill="CCEEFF"/>
          </w:tcPr>
          <w:p>
            <w:pPr>
              <w:spacing w:after="0"/>
              <w:rPr>
                <w:sz w:val="19"/>
                <w:szCs w:val="19"/>
                <w:color w:val="auto"/>
              </w:rPr>
            </w:pPr>
          </w:p>
        </w:tc>
      </w:tr>
      <w:tr>
        <w:trPr>
          <w:trHeight w:val="223"/>
        </w:trPr>
        <w:tc>
          <w:tcPr>
            <w:tcW w:w="70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Loan Agreement, we have the right to prepay the Xcel Term Loan, provided that any prepayment of less than all of the outstanding balance shall be applied to the remaining amounts due in inverse order of maturity.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Xcel Term Loan is prepaid on or prior to the third anniversary of the closing date (including as a result of an event of default), we shall pay early termination fees of 2.00% in the first year, 1.00% in the second year, and zero thereafter.</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Commencing with the fiscal year ending December 31, 2017, we are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w:t>
      </w:r>
    </w:p>
    <w:p>
      <w:pPr>
        <w:ind w:firstLine="8"/>
        <w:spacing w:after="0" w:line="261" w:lineRule="auto"/>
        <w:tabs>
          <w:tab w:leader="none" w:pos="2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cash interest and principal and taxes paid or payable during such period, and (iii) all dividends declared and paid during such period to equity holders of any credit party treated as a disregarded entity for tax purposes.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Agreement, as amended,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81" w:lineRule="exact"/>
        <w:rPr>
          <w:sz w:val="20"/>
          <w:szCs w:val="20"/>
          <w:color w:val="auto"/>
        </w:rPr>
      </w:pPr>
    </w:p>
    <w:p>
      <w:pPr>
        <w:ind w:left="1300" w:hanging="320"/>
        <w:spacing w:after="0" w:line="25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worth (as defined in the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Loan Agreement) is less than 1.00 to 1.00 and, in which event, liquid assets must be at least $3,000,000;</w:t>
      </w:r>
    </w:p>
    <w:p>
      <w:pPr>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shall not exceed (i) $2,650,000 for the year ending December 31, 2016 and (ii) $700,000 for any fiscal year thereafter; and</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(as defined in the Loan Agreement) of $9,000,000 for each fiscal year commencing January 1, 2017.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 full compliance with all covenants under the Loan Agreement, as amended, as of and for the fiscal year ended December 31, 2016.</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IM Seller Note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the IM Seller Note in the principal amount of $7.38 million to IM Ready as partial consideration for the acquisition of the Mizrahi business in 2011. The IM Seller Note was amended on December 24, 2013, which included a partial repayment of $1.5 million of principal, and further amended on September 19, 2016. The IM Seller Note currently bears interest at 2.236% per annum, and matures on March 31, 2019. The note requires semi-annual principal and interest installment payments of $750,000.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The aggregate remaining annual principal payments under the IM Seller Note are as follows: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8740" w:type="dxa"/>
            <w:vAlign w:val="bottom"/>
            <w:gridSpan w:val="3"/>
          </w:tcPr>
          <w:p>
            <w:pPr>
              <w:ind w:left="1720"/>
              <w:spacing w:after="0"/>
              <w:rPr>
                <w:sz w:val="20"/>
                <w:szCs w:val="20"/>
                <w:color w:val="auto"/>
              </w:rPr>
            </w:pPr>
            <w:r>
              <w:rPr>
                <w:rFonts w:ascii="Arial" w:cs="Arial" w:eastAsia="Arial" w:hAnsi="Arial"/>
                <w:sz w:val="18"/>
                <w:szCs w:val="18"/>
                <w:color w:val="auto"/>
              </w:rPr>
              <w:t>($ in thousands)</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Amount of</w:t>
            </w:r>
          </w:p>
        </w:tc>
      </w:tr>
      <w:tr>
        <w:trPr>
          <w:trHeight w:val="230"/>
        </w:trPr>
        <w:tc>
          <w:tcPr>
            <w:tcW w:w="17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8740" w:type="dxa"/>
            <w:vAlign w:val="bottom"/>
            <w:gridSpan w:val="3"/>
          </w:tcPr>
          <w:p>
            <w:pPr>
              <w:ind w:left="172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17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70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the Ripka Seller Notes in the principal amount of $6.0 million as part of the consideration for the purchase of the Ripka brands in 2014. The Ripka Seller Notes have a term of five years from the date of issuance, are payable in cash or shares of our common stock valued at the time of payment, at our option, with a floor price of $7.00 per share if paid in stock, and with Ripka having certain rights to extend the maturity of the Ripka Seller Notes in the event our stock is trading at a price of less than $7.00 per share.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2015, we agreed to cancel Ripka Seller Notes in the principal amount of $3.0 million and execute in their place: (i) a $2.4 million principal amount promissory note and (ii) a $0.6 million principal amount promissory note, each issued in the name of Ms. Ripka and each pursuant to substantially the same terms as the Ripka Seller Notes. The $2.4 million principal promissory note was ultimately cancelled in exchange for the issuance of an aggregate of 266,667 shares of our common stock. The $0.6 million principal amount promissory note remains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satisfied an additional $3.0 million principal amount of the Ripka Seller Notes by issuing 333,334 shares of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carrying value of the Rikpa Seller Notes, net of the discount recorded at the time of purchase of the Ripka Brands which is being amortized as imputed interest over the term of the Notes, at December 31, 2016 was $0.50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2016, the Company made a $1.0 million loan to the seller of the Ripka brands, which was collateralized by certain assets in which the Company has been granted a security interest. The remaining $0.6 million principal amount promissory note is one such asset collateralizing that loan.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Earn-Out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purchase of the Ripka brands, we agreed to pay Ripka additional consideration of up to $5 million in aggregate, payable in cash or shares of our common stock based on the fair market value of our common stock at the time of payment, and with a floor of $7.00 per share, based on the Ripka brands achieving in excess of $1 million of net royalty income (excluding revenues generated by interactive television sales) during each of the 12-month periods beginning on October 1, 2015 and ending on October 1, 2018, less the sum of all earn out payments for any prior earn-out period.</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21, 2016, we entered into an agreement with the sellers of the Ripka brands which amended the terms of the Ripka Earn-Out, such that the maximum amount of earn-out consideration was reduced to $0.38 million, of which $0.18 million was payable in cash upon execution of the amendment, and $0.10 million is payable in cash on each of May 15, 2018 and 2019. The payment of the remaining $0.20 million of earn-out consideration is contingent upon the Ripka brands achieving at least $6 million of net royalty income from QVC during each of the 12-month periods ending on March 31, 2018 and 2019.</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expected value (which approximates fair value) of the Ripka Earn-Out of $0.20 million is recorded as long-term debt at December 31, 2016 on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Wonder Earn-Out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of the C Wonder brand, we agreed to pay the seller additional consideration, which would be payable, if at all, in cash or shares of our common stock, at our sole discretion, after June 30, 2019, with a value based on the royalties related directly to the assets acquired.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The C Wonder Earn-Out of $2.85 million is recorded as long-term debt at December 31, 2016 on the consolidated balance sheets based on the probability of the C Wonder brand achieving certain net royalty income targets within the earn-out periods and then calculating the present value of the weighted average payment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cash from future operations as well as currently available cash will be sufficient to satisfy our anticipated working capital requirements for the foreseeable future, including the debt service on our term debt, the Earn-Outs related to our acquisition of the Ripka and C Wonder brands, and making necessary investments in our infrastructure and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contractual cash obligations that existed as of December 31, 2016 for the future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780" w:type="dxa"/>
            <w:vAlign w:val="bottom"/>
          </w:tcPr>
          <w:p>
            <w:pPr>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2019 &amp; After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debt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Term debt interest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969</w:t>
            </w: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3,601</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 Seller Note (principal and interest)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2,311</w:t>
            </w: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16,627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20,543</w:t>
            </w:r>
          </w:p>
        </w:tc>
        <w:tc>
          <w:tcPr>
            <w:tcW w:w="6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Employment contracts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10,092</w:t>
            </w:r>
          </w:p>
        </w:tc>
        <w:tc>
          <w:tcPr>
            <w:tcW w:w="60" w:type="dxa"/>
            <w:vAlign w:val="bottom"/>
            <w:shd w:val="clear" w:color="auto" w:fill="CCEEFF"/>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 In April 2016, we brought the IMNYC Isaac Mizrahi, H Halston, and Highline Collective brands to Lord &amp; Taylor and Hudson’s Bay department stores through our quick-time-response direct-to-retail “virtual vertical” production platform, and plan to do the same with the C Wonder Limited brand in 2017. We signed a similar agreement with Dillard’s in December 2016, and plan to launch certain products under our H Halston, C Wonder, and Highline Collective brands at retail stores operated by Dillard’s in the U.S. in 2017. We also intend to seek new opportunities, including expansion through interactive television, our “virtual vertical” QTR production platform, additional domestic and international licensing arrangements, and acquiring additional brands. 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Xcel Brands,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Xcel Brands, Inc. and Subsidiaries as of December 31, 2016 and 2015, and the related consolidated statements of operations, stockholders’ equity, and cash flows for the years then ended. Xcel Brands, Inc. and Subsidiaries’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Xcel Brands, Inc. and Subsidiaries as of December 31, 2016 and 2015,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2016</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14,127</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Trademarks and other intangibles, net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111,220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non-current assets</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151,120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Accrued payroll</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obligations</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Long-term debt, less current portion</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liabilities, net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Common stock, $.001 par value, 35,000,000 shares authorized at December 31, 2016 and December 31,</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w w:val="90"/>
              </w:rPr>
              <w:t>2015, and 18,644,982 and 18,434,634 issued and outstanding at December 31, 2016 and December 31, 2015,</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151,120</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bottom w:val="single" w:sz="8" w:color="CCEEFF"/>
            </w:tcBorders>
            <w:vMerge w:val="restart"/>
          </w:tcPr>
          <w:p>
            <w:pPr>
              <w:ind w:left="3480"/>
              <w:spacing w:after="0"/>
              <w:rPr>
                <w:sz w:val="20"/>
                <w:szCs w:val="20"/>
                <w:color w:val="auto"/>
              </w:rPr>
            </w:pPr>
            <w:r>
              <w:rPr>
                <w:rFonts w:ascii="Arial" w:cs="Arial" w:eastAsia="Arial" w:hAnsi="Arial"/>
                <w:sz w:val="18"/>
                <w:szCs w:val="18"/>
                <w:color w:val="auto"/>
              </w:rPr>
              <w:t>See Notes to Consolidated Financial Statements.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2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2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32,603</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e-commerce sales</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23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Other design and marketing costs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Facility exit costs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on reduction of contingent obligation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interest and finance charges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(3,409)</w:t>
            </w: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4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1,371</w:t>
            </w:r>
          </w:p>
        </w:tc>
        <w:tc>
          <w:tcPr>
            <w:tcW w:w="60" w:type="dxa"/>
            <w:vAlign w:val="bottom"/>
          </w:tcPr>
          <w:p>
            <w:pPr>
              <w:spacing w:after="0"/>
              <w:rPr>
                <w:sz w:val="20"/>
                <w:szCs w:val="20"/>
                <w:color w:val="auto"/>
              </w:rPr>
            </w:pPr>
          </w:p>
        </w:tc>
      </w:t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60" w:type="dxa"/>
            <w:vAlign w:val="bottom"/>
          </w:tcPr>
          <w:p>
            <w:pPr>
              <w:spacing w:after="0"/>
              <w:rPr>
                <w:sz w:val="24"/>
                <w:szCs w:val="24"/>
                <w:color w:val="auto"/>
              </w:rPr>
            </w:pPr>
          </w:p>
        </w:tc>
      </w:tr>
      <w:tr>
        <w:trPr>
          <w:trHeight w:val="641"/>
        </w:trPr>
        <w:tc>
          <w:tcPr>
            <w:tcW w:w="4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w:t>
            </w:r>
          </w:p>
        </w:tc>
        <w:tc>
          <w:tcPr>
            <w:tcW w:w="6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20"/>
                <w:szCs w:val="20"/>
                <w:color w:val="auto"/>
              </w:rPr>
            </w:pPr>
          </w:p>
        </w:tc>
      </w:t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18"/>
                <w:szCs w:val="18"/>
                <w:color w:val="auto"/>
              </w:rPr>
            </w:pPr>
          </w:p>
        </w:tc>
      </w:tr>
      <w:tr>
        <w:trPr>
          <w:trHeight w:val="426"/>
        </w:trPr>
        <w:tc>
          <w:tcPr>
            <w:tcW w:w="4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3,018</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3,002</w:t>
            </w:r>
          </w:p>
        </w:tc>
        <w:tc>
          <w:tcPr>
            <w:tcW w:w="60" w:type="dxa"/>
            <w:vAlign w:val="bottom"/>
          </w:tcPr>
          <w:p>
            <w:pPr>
              <w:spacing w:after="0"/>
              <w:rPr>
                <w:sz w:val="24"/>
                <w:szCs w:val="24"/>
                <w:color w:val="auto"/>
              </w:rPr>
            </w:pPr>
          </w:p>
        </w:tc>
      </w:tr>
      <w:tr>
        <w:trPr>
          <w:trHeight w:val="446"/>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4"/>
                <w:szCs w:val="24"/>
                <w:color w:val="auto"/>
              </w:rPr>
            </w:pPr>
          </w:p>
        </w:tc>
      </w:tr>
      <w:tr>
        <w:trPr>
          <w:trHeight w:val="426"/>
        </w:trPr>
        <w:tc>
          <w:tcPr>
            <w:tcW w:w="4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2,703</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24"/>
                <w:szCs w:val="24"/>
                <w:color w:val="auto"/>
              </w:rPr>
            </w:pPr>
          </w:p>
        </w:tc>
      </w:tr>
      <w:tr>
        <w:trPr>
          <w:trHeight w:val="446"/>
        </w:trPr>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453"/>
        </w:trPr>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60" w:type="dxa"/>
            <w:vAlign w:val="bottom"/>
          </w:tcPr>
          <w:p>
            <w:pPr>
              <w:spacing w:after="0"/>
              <w:rPr>
                <w:sz w:val="24"/>
                <w:szCs w:val="24"/>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3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Discontinued operations, net</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2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18,625,670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16,151,163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19,044,749</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17,223,240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1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14,011,896</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 grants,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of forfeitures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587,505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Compensation expense in connection with stock options and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 connection with the extinguishment of</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through public offering, net of $2,011,000</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of direct costs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2,013,128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in connection with asset acquisition of C</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Wonder Brand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as payment for a portion of the QVC Earn-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290,473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 net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19,456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repurchased including vested restricted stock in exchange for</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(87,825)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vested stock grants and exercised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 ended December 31,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18,434,634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Adoption of Accounting Standards Update No. 2016-09 as of January</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1 (see Note 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 grants,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of forfeitures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260,968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Compensation expense in connection with stock options and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 net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warrants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218,974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Shares repurchased including vested restricted stock in exchange for</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(277,678)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 ended December 31, 2016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18,644,982</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97,354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2"/>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2,737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 net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Recovery of allowance for doubtful accounts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Deferred income tax provision (benefit)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Non-cash property exit charge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discontinued operations, net</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consideration for asset acquisition of the H Halston Brand</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Cash consideration for asset acquisition of the C Wonder Brand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to acquire additional intangible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Security deposit received related to sublease of former office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unconsolidated affiliate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Disbursement for loan made in exchange for promissory note receivable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common stock, net of direct costs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 and warrants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vested stock grants and exercised options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Shares repurchased including vested restricted stock in exchange for withholding taxes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deferred finance costs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Payment of long-term debt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earn-out obligations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Payment of installment obligations related to the acquisition of the Ripka Brand</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15,636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14,127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10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in connection with acquisition of the C Wonder Brand</w:t>
            </w: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Contingent obligation related to acquisition of the C Wonder Brand</w:t>
            </w:r>
          </w:p>
        </w:tc>
        <w:tc>
          <w:tcPr>
            <w:tcW w:w="10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 of common stock as payment for a portion of the Ripka Seller Notes</w:t>
            </w: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160"/>
              <w:spacing w:after="0"/>
              <w:rPr>
                <w:sz w:val="20"/>
                <w:szCs w:val="20"/>
                <w:color w:val="auto"/>
              </w:rPr>
            </w:pPr>
            <w:r>
              <w:rPr>
                <w:rFonts w:ascii="Arial" w:cs="Arial" w:eastAsia="Arial" w:hAnsi="Arial"/>
                <w:sz w:val="18"/>
                <w:szCs w:val="18"/>
                <w:color w:val="auto"/>
              </w:rPr>
              <w:t>Issuance of common stock as payment for a portion of the QVC Earn-Out</w:t>
            </w:r>
          </w:p>
        </w:tc>
        <w:tc>
          <w:tcPr>
            <w:tcW w:w="10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Financing of certain insurance obligations</w:t>
            </w: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905" w:right="239" w:bottom="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88900</wp:posOffset>
            </wp:positionV>
            <wp:extent cx="1732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220" w:type="dxa"/>
            <w:vAlign w:val="bottom"/>
          </w:tcPr>
          <w:p>
            <w:pPr>
              <w:ind w:left="180"/>
              <w:spacing w:after="0"/>
              <w:rPr>
                <w:sz w:val="20"/>
                <w:szCs w:val="20"/>
                <w:color w:val="auto"/>
              </w:rPr>
            </w:pPr>
            <w:r>
              <w:rPr>
                <w:rFonts w:ascii="Arial" w:cs="Arial" w:eastAsia="Arial" w:hAnsi="Arial"/>
                <w:sz w:val="18"/>
                <w:szCs w:val="18"/>
                <w:color w:val="auto"/>
              </w:rPr>
              <w:t>Cash paid during the period for income taxes</w:t>
            </w:r>
          </w:p>
        </w:tc>
        <w:tc>
          <w:tcPr>
            <w:tcW w:w="28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197"/>
        </w:trPr>
        <w:tc>
          <w:tcPr>
            <w:tcW w:w="622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during the period for interest</w:t>
            </w:r>
          </w:p>
        </w:tc>
        <w:tc>
          <w:tcPr>
            <w:tcW w:w="23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Xcel Brands, Inc. (“Xcel” and, together with its subsidiaries, the “Company”) is a brand management and media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 The Company also managed and designed the Liz Claiborne New York brand (“LCNY Brand”) through July 31, 2016.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services, and generates licensing, design, and service fee revenues through contractual arrangements and other agreements with manufacturers and retailers. These activities include licensing its own brands for promotion and distribution through a ubiquitous-channel retail sales strategy, which encompasses distribution through interactive television, the internet, and traditional brick-and-mortar retail channels.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June 2013 through December 2014, the Company operated its retail business through its wholly owned subsidiary, IMNY Retail Management, LLC (“Retail Management”). Retail Management included two retail stores for the Isaac Mizrahi Brand, as well as e-commerce platforms for the Isaac Mizrahi Brand and the Ripka Brand. In December 2014, the Company decided to discontinue its retail stores, while continuing to operate e-commerce as a component of the Company’s licensing business. Accordingly, the Company’s retail operations are treated as discontinued operations and presented as such in the consolidated financial statements (see Note 12).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period amounts have been reclassified to conform to current period presentation, including the presentation of restricted cash on the consolidated statements of cash flows (see Recently Adopted Accounting Pronouncements in Note 2 below), the presentation of immaterial asset and liability balances related to discontinued retail operations on the consolidated balance sheets, and the disaggregation of accrued payroll from accounts payable, accrued expenses and other current liabilities on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include the accounts of Xcel and its wholly owned subsidiaries as of and for the years ended December 31, 2016 (the “Current Year”) and December 31, 2015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accounted for its decision to close down its retail store operations as discontinued operations in accordance with the guidance provided in the Financial Accounting Standards Board (“FASB”) Accounting Standards Codification (“ASC”) Topic 360, “Accounting for Impairment or Disposal of Long-Lived Assets,” and ASC Topic 205, “Presentation of Financial Statements,” which require that only a disposal of a component of an entity, or a group of components of an entity, that represents a strategic shift that has, or will have, a major effect on the reporting entity’s operations and financial results shall be reported in the financial statements as discontinued operations. In the period a discontinued operation is classified as held for sale, the results of operations for the periods presented are reclassified into separate line items in the statements of operations. Assets and liabilities are also reclassified into separate line items on the related balance sheets for the periods presented. The statements of cash flows for the periods presented are also reclassified to reflect the results of discontinued operations as separate line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reported net of the allowance for doubtful accounts. Allowance for doubtful accounts is based on the Company’s ongoing discussions with its licensees and its evaluation of each licensee’s payment history, account aging, and financial position. As of December 31, 2016 and 2015, the Company had $6,969,000 and $7,594,000 of accounts receivable, respectively, net of allowances for doubtful accounts of $20,000 at both December 31, 2016 and 2015. The accounts receivable balance includes $112,000 and $1,531,000 of earned revenue that has been accrued but not billed as of December 31,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FASB ASC Topic 350, “Intangibles - Goodwill and Other.” Under this standard, goodwill and indefinite lived intangible assets are not amortized, but are required to be assessed for impairment at least annually and when events occur or circumstances change that would more likely than not reduce the fair value of the Company below its carrying amount.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annually has the option to first assess qualitatively whether it is more likely than not that there is an impairment. Should the results of this assessment result in either an ambiguous or unfavorable conclusion, the Company will perform additional quantitative testing. Quantitative testing is performed using a two-step approach. The first step compares estimated fair value with carrying value. If the estimated fair value exceeds the carrying value, then goodwill is considered not impaired. If the carrying value exceeds the estimated fair value, then a second step is performed to determine the implied fair value of goodwill. If the carrying value of goodwill exceeds its implied fair value, then an impairment charge equal to the difference is recorded. This requires the Company’s management to make certain assumptions and estimates regarding certain industry trends and future revenues of the Company.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performed its annual quantitative analysis of goodwill and intangible assets at December 31, 2016 and 2015, and determined that these assets were not impaired.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definite lived intangible assets are reviewed for impairment whenever events or changes in circumstances indicate that their carrying value may not be recoverable. An impairment loss is recognized if the carrying amount of a definite lived intangible asset is not recoverable and its carrying amount exceeds its fair value. No such impairments were indicated or recorded for the years ended December 31,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 lived intangible assets are amortized over their estimated useful lives of four (4) to fifteen (15)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December 31, 2016 and December 31, 2015 includes $1,109,000 of cash deposited with Bank Hapoalim B.M. (“BHI”) as collateral for an irrevocable standby letter of credit associated with the lease of the Company’s current corporate office and operating facilities at 1333 Broadway, New York City. Restricted cash at December 31, 2016 also includes $400,000 of cash held as a security deposit for the sublease of the Company’s former corporate offices at 475 Tenth Avenue, New York City by the Company to a third party subtenant.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holds a limited partner ownership interest in an unconsolidated affiliate. This investment is accounted for using the cost method, and is included within other assets on the Company’s consolidated balance sheet at December 31, 2016. This investment was entered into during the Current Year, and as of December 31, 2016, the carrying value of this investment was $100,000.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holds a promissory note receivable from a certain key employee in the principal amount of $1,000,000. This note receivable was entered into during the Current Year, is due and payable on April 1, 2019, and is fully collateralized by various assets of the employee in which the Company has been granted a security interest. The note receivable has been recorded at amortized cost, and is included within other assets on the Company’s consolidated balance sheet at December 31, 2016. The note bears interest at 5.1%, which was prepaid through a non-refundable original issue discount; interest income is being recognized over the term of the note using the interest method. The net carrying value of the promissory note receivable at December 31, 2016 was $879,000.</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Deferred Finance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incurred costs (primarily professional fees and lender underwriting fees) in connection with borrowings under the senior secured term loans. These costs have been deferred on the consolidated balance sheet as a reduction to the carrying value of the associated borrowings. In the Prior Year, such costs were amortized as interest expense using the straight-line method over the term of the related debt, which did not differ materially from the effective interest method. In the Current Year, such costs are amortized as interest expense using the effective interest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value of such contingent obligations. Any change in the expected obligation will result in expense or income recognized in the period in which it is determined that the fair value has changed. Contingent obligations have been reduced by $3.4 million and $3.0 million during the Current Year and Prior Year, respectively, and have been recorded as gains on the reduction of contingent obligations and included in operating income in the Company’s consolidated statements of operations. Additionally, when accounting for asset acquisitions, if any contingent obligations exist, such obligations are recognized and recorded as the positive difference between the fair value of the assets acquired and the consideration paid for the acquired assets. See Note 6, Debt for additional information related to contingent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the Company’s trademarks, at royalty rates specified in the license agreements. These agreements are also subject to contractual minimum levels.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which require the Company to meet its obligations and provide the relevant services under each contract.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Guaranteed minimum royalty payments are recognized on a straight-line basis over the term of each contract year as defined in each license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Royalties exceeding the guaranteed minimum royalty payments are recognized as income during the period corresponding with the licensee’s sales.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Advance royalty payments are recorded as deferred revenue at the time payment is received and recognized as revenue as earned. Revenue is not recognized unless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costs associated with production for the Company’s advertising campaigns are expensed during the periods when the activities take place. All other advertising costs, such as print and online media, are expensed when the advertisement occurs. The Company incurred no advertising costs for the Current Year and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rental payments under operating leases that include scheduled payment increases and rent holidays are amortized on a straight-line basis over the term of the lease. Landlord allowances are amortized by the straight-line method from the possession date through the end of the term of the lease as a reduction of rent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term of the award, expected stock price volatility,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In the Prior Year, the calculation of periodic compensation cost also required that the Company estimate the number of awards that will be forfeited during the vesting period. Forfeitures were estimated at the time of grant and revised, if necessary, in subsequent periods if actual forfeitures differed significantly from those estimates. In the Current Year, the Company changed its accounting policy to account for forfeitures as a reduction of compensation cost in the period when such forfeitures occur; see Recently Adopted Accounting Pronouncements below.</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2016 and 2015. Interest and penalties related to uncertain tax positions, if any, are recorded in income tax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820-10, “Fair Value Measurements and Disclosures” (“ASC 820-10”),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certain of the Company’s financial instruments, including cash and cash equivalents, restricted cash, accounts receivable, accounts payable and accrued expenses and other current liabilities, the carrying amounts approximate fair value due to the short-term maturities of these instruments. The carrying value of the promissory note receivable approximates fair value because the fixed interest rate approximates current market rates and in the instances it does not, the impact is not material. The carrying value of the Xcel Term Loan (as defined in Note 6)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cost method investment is not estimated as there are no identified events or changes in circumstances that may have a significant adverse effect on the fair value of the investment, and the investee does not meet the definition of a publicly traded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contingent obligations that were required to be measured at fair value on a recurring basis. The Company’s contingent obligations were measured using inputs from Level 3 of the fair value hierarchy, which is defined as unobservable inputs that reflect management’s assumptions that market participants would use in pricing assets or liabilities based on the best information available.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earn-out obligations (see Note 6) were based upon certain projected net royalty revenues as defined in the terms and conditions of the acquisition of the Isaac Mizrahi Brand. As of September 30, 2015 net royalty revenue associated with Isaac Mizrahi Brand earn-out obligations were determinable, and adjusted accordingly. The following table reflects the change in fair value of the Company’s earn-out obligations associated with the Isaac Mizrahi Brand for the years ended December 31, 2016 and 2015:</w:t>
      </w:r>
    </w:p>
    <w:p>
      <w:pPr>
        <w:sectPr>
          <w:pgSz w:w="11900" w:h="16838" w:orient="portrait"/>
          <w:cols w:equalWidth="0" w:num="1">
            <w:col w:w="11420"/>
          </w:cols>
          <w:pgMar w:left="240" w:top="908"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764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Gain on reduction of contingent obligation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contingent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608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spacing w:after="0"/>
        <w:tabs>
          <w:tab w:leader="none" w:pos="860" w:val="left"/>
          <w:tab w:leader="none" w:pos="132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250</w:t>
        <w:tab/>
        <w:t>$</w:t>
      </w:r>
      <w:r>
        <w:rPr>
          <w:sz w:val="20"/>
          <w:szCs w:val="20"/>
          <w:color w:val="auto"/>
        </w:rPr>
        <w:tab/>
      </w:r>
      <w:r>
        <w:rPr>
          <w:rFonts w:ascii="Arial" w:cs="Arial" w:eastAsia="Arial" w:hAnsi="Arial"/>
          <w:sz w:val="15"/>
          <w:szCs w:val="15"/>
          <w:color w:val="auto"/>
        </w:rPr>
        <w:t>5,766</w:t>
      </w:r>
    </w:p>
    <w:p>
      <w:pPr>
        <w:spacing w:after="0" w:line="23" w:lineRule="exact"/>
        <w:rPr>
          <w:sz w:val="20"/>
          <w:szCs w:val="20"/>
          <w:color w:val="auto"/>
        </w:rPr>
      </w:pPr>
    </w:p>
    <w:p>
      <w:pPr>
        <w:ind w:left="2000" w:hanging="912"/>
        <w:spacing w:after="0"/>
        <w:tabs>
          <w:tab w:leader="none" w:pos="2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(3,000)</w:t>
      </w:r>
    </w:p>
    <w:p>
      <w:pPr>
        <w:spacing w:after="0" w:line="3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(250)</w:t>
      </w:r>
      <w:r>
        <w:rPr>
          <w:rFonts w:ascii="Arial" w:cs="Arial" w:eastAsia="Arial" w:hAnsi="Arial"/>
          <w:sz w:val="16"/>
          <w:szCs w:val="16"/>
          <w:color w:val="auto"/>
        </w:rPr>
        <w:t>(2,516)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8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5" w:lineRule="exact"/>
        <w:rPr>
          <w:sz w:val="20"/>
          <w:szCs w:val="20"/>
          <w:color w:val="auto"/>
        </w:rPr>
      </w:pPr>
    </w:p>
    <w:p>
      <w:pPr>
        <w:spacing w:after="0"/>
        <w:tabs>
          <w:tab w:leader="none" w:pos="1060" w:val="left"/>
          <w:tab w:leader="none" w:pos="132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83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608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00"/>
          </w:cols>
          <w:pgMar w:left="240" w:top="908"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6" w:name="page47"/>
    <w:bookmarkEnd w:id="46"/>
    <w:p>
      <w:pPr>
        <w:jc w:val="both"/>
        <w:spacing w:after="0" w:line="291" w:lineRule="auto"/>
        <w:rPr>
          <w:sz w:val="20"/>
          <w:szCs w:val="20"/>
          <w:color w:val="auto"/>
        </w:rPr>
      </w:pPr>
      <w:r>
        <w:rPr>
          <w:rFonts w:ascii="Arial" w:cs="Arial" w:eastAsia="Arial" w:hAnsi="Arial"/>
          <w:sz w:val="16"/>
          <w:szCs w:val="16"/>
          <w:color w:val="auto"/>
        </w:rPr>
        <w:t>In addition to the Company’s contingent obligations measured at fair value on a recurring basis under ASC 820-10, the Company also recognized a contingent obligation of $3.78 million in connection with the acquisition of Judith Ripka Trademarks during the year ended December 31,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The Company also recognized a contingent obligation of $2.85 million in connection with the acquisition of the C Wonder Trademarks in the Prior Year. ASC 805-50-30 requires that, when the fair value of the assets acquired are equal to the consideration paid, any contingent obligations shall be recognized based upon the Company's best estimate of the amount that will be paid to settle the liability. See Notes 3 and 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accounts receivable, and notes receivable. The Company limits its credit risk with respect to cash, cash equivalents, and restricted cash by maintaining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 Concentration of credit risk with respect to the promissory note receivable held by the Company is mitigated as it is fully collateralized by various assets in which the Company has been granted a security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from continuing operations, net income (loss) from discontinued operations, and net income available to common stockholders by the weighted average number of common shares outstanding during the period, excluding the effects of any potentially dilutive securities. Diluted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2014, the FASB issued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The FASB subsequently issued amendments providing additional guidance, clarification, and practical expedients as follows:</w:t>
      </w:r>
    </w:p>
    <w:p>
      <w:pPr>
        <w:spacing w:after="0" w:line="5" w:lineRule="exact"/>
        <w:rPr>
          <w:sz w:val="20"/>
          <w:szCs w:val="20"/>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August 2015, the FASB delayed the effective date of this standard by one year, such that the new revenue guidance is now effective for fiscal years beginning after December 15, 2017 (i.e., calendar years beginning on January 1, 2018), and interim periods therein.</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April 2016, the FASB issued Accounting Standards Update No. 2016-10, “Revenue from Contracts with Customers (Topic 606): Identifying Performance Obligations and Licensing,” which amends certain aspects of the guidance in ASU 2014-09 related to identifying performance obligations and applying the new revenue guidance to licensing transactions.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May 2016, the FASB issued Accounting Standards Update No. 2016-12, “Revenue from Contracts with Customers (Topic 606): Narrow-Scope Improvements and Practical Expedients,” which addresses topics of collectability, presentation of sales tax collected from customers, non-cash consideration, contract modifications and completed contracts at transition, and transition disclosures.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December 2016, the FASB issued Accounting Standards Update No. 2016-20, “Technical Corrections and Improvements to Topic 606, Revenue from Contracts with Customers,” to provide further clarification on various elements of the new revenue guidance.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currently evaluating the method and the impact that the adoption of these ASUs will have on the Company’s consolidated financial statements and disclosures. Based upon the Company’s preliminary assessment and initial evaluation, management does not currently expect that the adoption of these ASUs will have a material impact on the measurement or timing of the Company’s revenue recognition.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The Company is currently evaluating the impact that the adoption of ASU 2016-02 will have on the Company’s consolidated financial statements and disclosures.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t>In August 2016, the FASB issued Accounting Standards Update No. 2016-15, “Classification of Certain Cash Receipts and Cash Payments” (“ASU 2016-15”). ASU 2016-15 provides guidance and clarification regarding the presentation and classification on the statement of cash flows for eight specific cash flow issues, including:</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prepayment and extinguishment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settlement of zero-coupon (or insignificant coupon interest rate)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proceeds from settlement of corporate-owned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separately identifiable cash flows / application of predominance principle.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 accounting guidance is effective for public companies for fiscal years beginning after December 15, 2017 (i.e., calendar years beginning on January 1, 2018), including interim periods within those fiscal years. Entities must apply the guidance retrospectively to all periods presented but may apply it prospectively from the earliest date practicable if retrospective application would be impracticable. Early adoption is permitted, provided all amendments are adopted in the same period. The Company does not anticipate that the adoption of ASU 2016-15 will have a material impact on its consolidated financial statements when it is adopted in 2018.</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2017, the FASB issued Accounting Standards Update No. 2017-04, “Simplifying the Test for Goodwill Impairment” (“ASU 2017-04”). ASU 2017-04 eliminates Step 2 of the goodwill impairment test, which currently requires a hypothetical purchase price allocation based on the fair value of individual assets and liabilities of a reporting unit in order to measure the amount of a goodwill impairment. Instead, after the adoption of ASU 2017-04, goodwill impairment will be measured as the amount by which a reporting unit’s carrying value exceeds its fair value, not to exceed the carrying amount of goodwill. This new accounting guidance shall be applied prospectively, and is effective for public companies for fiscal years beginning after December 15, 2019 (i.e. calendar years beginning on January 1, 2020). Early adoption is permitted for any goodwill impairment tests performed on testing dates after January 1, 2017. The Company does not anticipate that the adoption of ASU 2017-04 will have a material impact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2016, the FASB issued Accounting Standards Update No. 2016-09, “Improvements to Employee Share-Based Payment Accounting” (“ASU 2016-09”). ASU 2016-09 requires that all excess tax benefits and tax deficiencies be recognized in the income statement as discrete tax items in the interim period in which they occur, clarifies that employee taxes paid when an employer withholds shares for tax purposes should be presented on the statement of cash flows as a financing activity, and changes the presentation of excess tax benefits on the statement of cash flows from a financing activity to an operating activity. ASU 2016-09 also provides for a policy election to either estimate the number of awards expected to vest (as per current GAAP) or account for forfeitures when they occur. This new accounting guidance is effective for public companies for fiscal years beginning after December 15, 2016 (i.e., calendar years beginning on January 1, 2017), including interim periods within those fiscal years. The Company early adopted the applicable provisions of ASU 2016-09 during the fourth quarter of 2016 as follows:</w:t>
      </w:r>
    </w:p>
    <w:p>
      <w:pPr>
        <w:spacing w:after="0" w:line="4" w:lineRule="exact"/>
        <w:rPr>
          <w:sz w:val="20"/>
          <w:szCs w:val="20"/>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guidance requiring excess tax benefits to be recorded in the income statement has been applied prospectively effective January 1, 2016. Amounts previously recorded to additional paid in capital related to windfall tax benefits prior to January 1, 2016 remain in equity, and the December 31, 2015 balance sheet has not been adjusted.</w:t>
      </w:r>
    </w:p>
    <w:p>
      <w:pPr>
        <w:spacing w:after="0" w:line="1" w:lineRule="exact"/>
        <w:rPr>
          <w:rFonts w:ascii="Arial" w:cs="Arial" w:eastAsia="Arial" w:hAnsi="Arial"/>
          <w:sz w:val="18"/>
          <w:szCs w:val="18"/>
          <w:color w:val="auto"/>
        </w:rPr>
      </w:pPr>
    </w:p>
    <w:p>
      <w:pPr>
        <w:jc w:val="both"/>
        <w:ind w:left="660" w:hanging="328"/>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guidance eliminating the requirement that excess tax benefits must be realized (through a reduction in income taxes payable) prior to recognition has been applied using a modified retrospective transition method, and the Company has recorded a cumulative-effect adjustment to retained earnings for previously unrecognized excess tax benefits of $35,000 as of January 1, 2016.</w:t>
      </w:r>
    </w:p>
    <w:p>
      <w:pPr>
        <w:spacing w:after="0" w:line="1" w:lineRule="exact"/>
        <w:rPr>
          <w:rFonts w:ascii="Arial" w:cs="Arial" w:eastAsia="Arial" w:hAnsi="Arial"/>
          <w:sz w:val="18"/>
          <w:szCs w:val="18"/>
          <w:color w:val="auto"/>
        </w:rPr>
      </w:pPr>
    </w:p>
    <w:p>
      <w:pPr>
        <w:jc w:val="both"/>
        <w:ind w:left="660" w:hanging="328"/>
        <w:spacing w:after="0" w:line="24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guidance requiring exclusion of excess tax benefits from the computation of assumed proceeds under the treasury stock method when calculating earnings per share has been applied prospectively effective January 1, 2016. Earnings per share for the year ended December 31, 2015 have not been adjusted.</w:t>
      </w:r>
    </w:p>
    <w:p>
      <w:pPr>
        <w:spacing w:after="0" w:line="2"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guidance requiring presentation of excess tax benefits as an operating activity on the statement of cash flows rather than as a financing activity has been applied prospectively effective January 1, 2016. The statement of cash flows for the year ended December 31, 2015 has not been adjusted.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elected to account for forfeitures of share-based payments in the period in which such forfeitures occur. This change has been applied using a modified retrospective transition method, and the Company has recorded a cumulative-effect adjustment to retained earnings of $37,000 as of January 1, 2016.</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Accounting Standards Update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early adopted the provisions of ASU 2016-18 during the fourth quarter of 2016, and has applied this guidance retrospectively to all periods presented. As a result of including restricted cash with cash and cash equivalents when reconciling the beginning-of-period and end-of-period total amounts presented on the statement of cash flows, net cash flows for the year ended December 31, 2015 increased by $1,109,000.</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3. Acquisition of C Wonder Trademarks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31, 2015, the Company and its wholly owned subsidiary, C Wonder Licensing, completed the acquisition of certain assets of Burch Acquisition, LLC (the “CW Seller”), including the “C Wonder” trademark and other intellectual property relating thereto, pursuant to an asset purchase agreement (the “CW Purchase Agreement”) dated as of July 16, 2015 with the CW Seller and, solely with respect to certain non-compete and confidentiality provisions of the CW Purchase Agreement, J. Christopher Burch.</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CW Purchase Agreement, the Company delivered (i) $2,500,000 in cash and 500,000 shares of common stock of the Company to the CW Seller (the “Closing Consideration”) and (ii) $500,000 in cash and 500,000 shares of common stock of the Company into escrow for purposes of future indemnification obligations of the CW Seller (the “Escrow Consideration”). In addition to the foregoing consideration, Burch LLC will be eligible to earn additional cash (or, at the Company’s discretion, shares of the Company’s common stock), payable, if at all, after June 30, 2019 based on the royalties related directly to the C Wonder Brand. The value of this additional consideration, or earn-out, will be calculated as the positive amount, if any, of (i) two times (A) the maximum net royalties from license agreements as calculated for any single 12 month period commencing on July 1 and ending on June 30 between the C Wonder closing and June 30, 2019, less (B) $4.0 million, plus (ii) two times the maximum royalty determined based on a percentage of the retail and wholesale sales of C Wonder branded products by Xcel as calculated for any single 12 month period commencing on July 1 and ending on June 30 between the C Wonder closing and June 30, 2019.</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15, 2015, the Company and C Wonder Licensing entered into a license agreement with QVC, Inc. dated July 31, 2015, which became effective upon the closing of the C Wonder acquisition (the “QVC License Agreement”). Pursuant to the QVC License Agreement, C Wonder designs and QVC markets, promotes, distributes and sells various products under the C Wonder Brand name in exchange for a royalty based on net retail sales of the products. The initial license period expires on December 31, 2020. After the initial term, the QVC License Agreement automatically renews for additional three-year terms in perpetuity unless either party notifies the other of its intention not to renew at least sixty (60) days prior to the end of the then-current term.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w w:val="97"/>
              </w:rPr>
              <w:t>The following represents the aggregate purchase price of $15.4 million, including legal and other fees of $0.59 million:</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2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8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Fair value of common stock issued (1,000,000 shares)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 Wonder Earn-Out obligation (at fair value, see Note 6)</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 transaction expenses (legal and other fees)</w:t>
            </w:r>
          </w:p>
        </w:tc>
        <w:tc>
          <w:tcPr>
            <w:tcW w:w="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consideration</w:t>
            </w:r>
          </w:p>
        </w:tc>
        <w:tc>
          <w:tcPr>
            <w:tcW w:w="5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 Wonder Brand acquisition was accounted for as an asset purchase. The aggregate purchase price of $15,437,000 was allocated entirely to Trademarks based on the fair value of the assets on the date of acquisition. Trademarks were determined by management to have an estimated useful life of 15 years and accordingly, the Company recorded amortization expense of $1,030,000 and $429,000 in the Company’s consolidated statements of operations for the Current Year and Prior Year, respectively.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4. Trademarks, Goodwill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of the Isaac Mizrahi Brand, the Ripka Brand, and the H Halston Brands have been determined to have indefinite useful lives and accordingly, no amortization has been recorded in the Company’s consolidated statements of operations related to those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definite lived intangible assets for the years ended December 31, 2016 and 2015 was $1,129,000 and $807,000,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w w:val="91"/>
              </w:rPr>
              <w:t>Estimated future amortization expense related to definite lived intangible assets over the remaining useful lives is as follows: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08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Amortization</w:t>
            </w:r>
          </w:p>
        </w:tc>
      </w:tr>
      <w:tr>
        <w:trPr>
          <w:trHeight w:val="234"/>
        </w:trPr>
        <w:tc>
          <w:tcPr>
            <w:tcW w:w="908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w:t>
            </w:r>
          </w:p>
        </w:tc>
      </w:tr>
      <w:tr>
        <w:trPr>
          <w:trHeight w:val="210"/>
        </w:trPr>
        <w:tc>
          <w:tcPr>
            <w:tcW w:w="116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and 2015, the Company had $12,371,000 of goodwill, which represents the excess of the purchase price over the fair value of net assets acquired accounted for under the acquisition method of accounting, related to the 2011 acquisition of the Isaac Mizrahi business. There was no change in goodwill during the Current Year or Prior Year.</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5. 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its wholly owned subsidiaries, the Company has entered into direct-to-retail license agreements with QVC, pursuant to which the Company designs, and QVC sources and sells, various products under the IsaacMizrahiLIVE brand, the Judith Ripka brand,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agreements, the Company has granted to QVC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Agreements include automatic renewal periods as detailed below unless terminated by either party.</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Current Term</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Automatic</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Xcel Commenced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Expiry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QVC Product Launch</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one year period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2011</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2019</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one year period</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April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10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December 31,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2015</w:t>
            </w: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C Wonder QVC Agreement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 2021</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three year period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2016</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the Company’s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QVC Agreements, QVC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Also under the QVC Agreements, the Company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QVC royalty revenue represents a significant portion of the Company’s total revenues. In addition, the Company also received fees from QVC related to the management and design of the LCNY brand pursuant to an agreement with Kate Spade Company (“KSC”), formerly Fifth &amp; Pacific Companies, Inc. and formerly Liz Claiborne, Inc. (the “LCNY Agreement”). The LCNY Agreement expired on July 31, 2016.</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from QVC, including fees related to LCNY brand, totaled $27.91 million and $23.31 million for the Current Year and Prior Year, respectively, representing approximately 85% and 84% of the Company’s total revenues, respectively. As of December 31, 2016 and 2015, the Company had receivables from QVC of $5.89 million and $6.40 million, representing approximately 85% and 84% of the Company’s accounts receivable, respectively. The December 31, 2015 QVC receivables included $1.18 million of earned revenue that had been accrued but not billed as of the respective balance sheet dates.</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340" w:type="dxa"/>
            <w:vAlign w:val="bottom"/>
            <w:gridSpan w:val="2"/>
          </w:tcPr>
          <w:p>
            <w:pPr>
              <w:ind w:left="460"/>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24"/>
                <w:szCs w:val="24"/>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6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IM Term Loan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JR Term Loan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7,875</w:t>
            </w: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H Term Loan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finance costs related to term loans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IM Seller Note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4,918</w:t>
            </w: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Contingent obligation – IM Seller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r>
      <w:tr>
        <w:trPr>
          <w:trHeight w:val="230"/>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Contingent obligation – CW Seller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r>
      <w:tr>
        <w:trPr>
          <w:trHeight w:val="210"/>
        </w:trPr>
        <w:tc>
          <w:tcPr>
            <w:tcW w:w="46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portion (i), (ii)</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9,168</w:t>
            </w:r>
          </w:p>
        </w:tc>
      </w:tr>
      <w:tr>
        <w:trPr>
          <w:trHeight w:val="223"/>
        </w:trPr>
        <w:tc>
          <w:tcPr>
            <w:tcW w:w="460" w:type="dxa"/>
            <w:vAlign w:val="bottom"/>
          </w:tcPr>
          <w:p>
            <w:pPr>
              <w:spacing w:after="0"/>
              <w:rPr>
                <w:sz w:val="19"/>
                <w:szCs w:val="19"/>
                <w:color w:val="auto"/>
              </w:rPr>
            </w:pPr>
          </w:p>
        </w:tc>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line="25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consolidated balance sheet at December 31, 2016 includes $5.000 million related to term loan debt and $1.427 million related to the IM Seller Note</w:t>
      </w:r>
    </w:p>
    <w:p>
      <w:pPr>
        <w:spacing w:after="0" w:line="1" w:lineRule="exact"/>
        <w:rPr>
          <w:rFonts w:ascii="Arial" w:cs="Arial" w:eastAsia="Arial" w:hAnsi="Arial"/>
          <w:sz w:val="18"/>
          <w:szCs w:val="18"/>
          <w:color w:val="auto"/>
        </w:rPr>
      </w:pPr>
    </w:p>
    <w:p>
      <w:pPr>
        <w:ind w:left="980" w:hanging="648"/>
        <w:spacing w:after="0" w:line="290"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current portion of long-term debt presented on the consolidated balance sheet at December 31, 2015 included $4.000 million related to term loan debt, $4.918 million related to the IM Seller Note, and $0.250 million related to the IM Seller contingent obligation.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2013, IM Brands, LLC (“IM Brands”) entered into a $13 million five year term loan with BHI (as amended, the “IM Term Loan”). The IM Term Loan was secured by all of the assets of IM Brands and the Company’s membership interest in IM Brands and bore interest at an annual fixed rate of 4.44%, payable quarterly in arrears each calendar quarter.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2014, JR Licensing, LLC (“JR Licensing”) entered into a $9 million five year term loan with BHI (as amended, the “JR Term Loan”). The JR Term Loan was secured by all of the assets of JR Licensing and a guarantee from the Company secured by a pledge of the Company’s membership interest in JR Licensing and by a guarantee from IM Brands, secured by a pledge of all of IM Brands’ assets. The JR Term Loan bore interest at an annual variable rate of either LIBOR plus 3.5% or Prime plus 0.50%, at JR Licensing’s option, payable, on the last business day of the applicable interest period or quarterly in arrears on the first day of each calendar quarter, respectively.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2014, H Licensing, LLC (“H Licensing”) entered into a $10 million, five year term loan with BHI (“H Term Loan”). The H Term Loan was secured by (i) all of the assets of H Licensing, (ii) a guarantee by the Company, secured by a pledge of the Company’s membership interest in H Licensing,</w:t>
      </w:r>
    </w:p>
    <w:p>
      <w:pPr>
        <w:jc w:val="both"/>
        <w:ind w:firstLine="8"/>
        <w:spacing w:after="0" w:line="302" w:lineRule="auto"/>
        <w:tabs>
          <w:tab w:leader="none" w:pos="3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guarantee from IM Brands, secured by a pledge of all of the assets of IM Brands, and (iv) a guarantee from JR Licensing, secured by a pledge of all of the assets of JR Licensing. The H Term Loan bore interest at an annual variable rate, as elected by H Licensing, of LIBOR plus 3.50% or Prime rate plus 0.50%, payable on the last business day of the applicable interest period or quarterly in arrears on the first day of each calendar quarter, respectively.</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as agent, and the financial institutions party thereto as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 Management assessed and determined that this transaction represented a debt modification and, accordingly, no gain or loss was recorded.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Loan Agreement) requirement for the year ended December 31, 2016 was eliminated. There were no changes to the total principal balance, interest rate, maturity date, or other terms of the Loan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w w:val="95"/>
              </w:rPr>
              <w:t>The aggregate remaining annual principal payments under the Xcel Term Loan, as amended, are as follows: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8220" w:type="dxa"/>
            <w:vAlign w:val="bottom"/>
            <w:gridSpan w:val="3"/>
          </w:tcPr>
          <w:p>
            <w:pPr>
              <w:ind w:left="2300"/>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97"/>
              </w:rPr>
              <w:t>Amount of</w:t>
            </w:r>
          </w:p>
        </w:tc>
      </w:tr>
      <w:tr>
        <w:trPr>
          <w:trHeight w:val="216"/>
        </w:trPr>
        <w:tc>
          <w:tcPr>
            <w:tcW w:w="2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b w:val="1"/>
                <w:bCs w:val="1"/>
                <w:color w:val="auto"/>
              </w:rPr>
              <w:t>Principal</w:t>
            </w:r>
          </w:p>
        </w:tc>
      </w:tr>
      <w:tr>
        <w:trPr>
          <w:trHeight w:val="234"/>
        </w:trPr>
        <w:tc>
          <w:tcPr>
            <w:tcW w:w="8220" w:type="dxa"/>
            <w:vAlign w:val="bottom"/>
            <w:gridSpan w:val="3"/>
          </w:tcPr>
          <w:p>
            <w:pPr>
              <w:ind w:left="2300"/>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b w:val="1"/>
                <w:bCs w:val="1"/>
                <w:color w:val="auto"/>
              </w:rPr>
              <w:t>Payment</w:t>
            </w:r>
          </w:p>
        </w:tc>
      </w:tr>
      <w:tr>
        <w:trPr>
          <w:trHeight w:val="210"/>
        </w:trPr>
        <w:tc>
          <w:tcPr>
            <w:tcW w:w="230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w:t>
            </w:r>
          </w:p>
        </w:tc>
        <w:tc>
          <w:tcPr>
            <w:tcW w:w="40" w:type="dxa"/>
            <w:vAlign w:val="bottom"/>
            <w:shd w:val="clear" w:color="auto" w:fill="CCEEFF"/>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59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as follows: an amount equal to the principal amount outstanding under the Term Loan on the date of prepayment, multiplied by: (i) two percent (2.00%) if the Xcel Term Loan is prepaid on or after the closing date and on or before the second anniversary of the closing date; and (ii) one percent (1.00%) if the Xcel Term Loan is prepaid after the second anniversary of the closing date and on or before the third anniversary of the closing date.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Loan Agreement):</w:t>
      </w:r>
    </w:p>
    <w:p>
      <w:pPr>
        <w:spacing w:after="0" w:line="181" w:lineRule="exact"/>
        <w:rPr>
          <w:sz w:val="20"/>
          <w:szCs w:val="20"/>
          <w:color w:val="auto"/>
        </w:rPr>
      </w:pPr>
    </w:p>
    <w:p>
      <w:pPr>
        <w:ind w:left="1300" w:hanging="320"/>
        <w:spacing w:after="0" w:line="25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worth (as defined in the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Loan Agreement) is less than 1.00 to 1.00 and, in which event, liquid assets must be at least $3,000,000;</w:t>
      </w:r>
    </w:p>
    <w:p>
      <w:pPr>
        <w:ind w:left="1300" w:hanging="320"/>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1300" w:hanging="320"/>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shall not exceed (i) $2,650,000 for the year ending December 31, 2016 and (ii) $700,000 for any fiscal year thereafter; and</w:t>
      </w: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(as defined in the Loan Agreement) of $9,000,000 for each fiscal year commencing January 1, 2017.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 full compliance with all covenants under the Loan Agreement, as amended, as of and for the fiscal year ended December 31, 2016.</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refinancing of its term loan debt in February 2016, the Company paid $199,000 of fees to or on behalf of BHI, of which $47,000 were paid in the Prior Year. These fees, along with $466,000 of remaining unamortized deferred finance costs related to the previous term loan debt, have been deferred on the consolidated balance sheets as a reduction to the carrying value of the Xcel Term Loan, and are being amortized to interest expense over the term of the Xcel Term Loan using the interest method.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on the Xcel Term Loan accrues at a fixed rate of 5.1% per annum and is payable on each day on which the scheduled principal payments are required to be made. For the Current Year and Prior Year, the Company incurred interest expense of $1,333,000 and $1,220,000, respectively, related to term loan debt.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consolidated statements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3"/>
          </w:tcPr>
          <w:p>
            <w:pPr>
              <w:spacing w:after="0"/>
              <w:rPr>
                <w:sz w:val="20"/>
                <w:szCs w:val="20"/>
                <w:color w:val="auto"/>
              </w:rPr>
            </w:pPr>
            <w:r>
              <w:rPr>
                <w:rFonts w:ascii="Arial" w:cs="Arial" w:eastAsia="Arial" w:hAnsi="Arial"/>
                <w:sz w:val="18"/>
                <w:szCs w:val="18"/>
                <w:color w:val="auto"/>
              </w:rPr>
              <w:t>The aggregate remaining annual principal payments under the IM Seller Note are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8220" w:type="dxa"/>
            <w:vAlign w:val="bottom"/>
            <w:gridSpan w:val="3"/>
          </w:tcPr>
          <w:p>
            <w:pPr>
              <w:ind w:left="2300"/>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w w:val="97"/>
              </w:rPr>
              <w:t>Amount of</w:t>
            </w:r>
          </w:p>
        </w:tc>
      </w:tr>
      <w:tr>
        <w:trPr>
          <w:trHeight w:val="216"/>
        </w:trPr>
        <w:tc>
          <w:tcPr>
            <w:tcW w:w="2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b w:val="1"/>
                <w:bCs w:val="1"/>
                <w:color w:val="auto"/>
              </w:rPr>
              <w:t>Principal</w:t>
            </w:r>
          </w:p>
        </w:tc>
      </w:tr>
      <w:tr>
        <w:trPr>
          <w:trHeight w:val="234"/>
        </w:trPr>
        <w:tc>
          <w:tcPr>
            <w:tcW w:w="8220" w:type="dxa"/>
            <w:vAlign w:val="bottom"/>
            <w:gridSpan w:val="3"/>
          </w:tcPr>
          <w:p>
            <w:pPr>
              <w:ind w:left="2300"/>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b w:val="1"/>
                <w:bCs w:val="1"/>
                <w:color w:val="auto"/>
              </w:rPr>
              <w:t>Payment</w:t>
            </w:r>
          </w:p>
        </w:tc>
      </w:tr>
      <w:tr>
        <w:trPr>
          <w:trHeight w:val="210"/>
        </w:trPr>
        <w:tc>
          <w:tcPr>
            <w:tcW w:w="230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59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Year and Prior Year, the Company incurred interest expense of $230,000 and $315,000, respectively, which includes amortization of the discount on the IM Seller Note of $210,000 and $301,000, respectively. The IM Seller Note balance at December 31, 2016 and 2015 was $3,627,000 and $4,918,000,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On February 20, 2015, a portion of the Ripka Seller Notes was amended and satisfied.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determined that its expected borrowing rate was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consolidated statements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20, 2015, the Company agreed to cancel Ripka Seller Notes in the principal amount of $3.0 million and execute in its place: (i) a $2.4 million principal amount promissory note issued in the name of Ripka (the “$2,400,000 Seller Note”) and (ii) a $600,000 principal amount promissory note issued in the name of Ripka (the “$600,000 Seller Note”), each with substantially the same terms as the Ripka Seller Notes, except that upon Ripka’s assignment of the $600,000 Seller Note to a permitted assignee, the principal payments under the $600,000 Seller Note would have accelerated to be payable in eight equal quarterly installments of $75,000 with the first payment due on March 31, 2015 and with the final principal payment payable on December 31, 2016. The $600,000 Seller Note was not assigned. The $2,400,000 Seller Note was assigned by Ripka to Judith Ripka Creations, Inc. and then assigned by Judith Ripka Creations, Inc. to Thai Jewelry Manufacturer Co. LTD. (“Thai Jewelry”).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20, 2015, the Company entered into a release letter (the “Release Letter”) with Thai Jewelry, pursuant to which the Company agreed to issue to Thai Jewelry an aggregate of 266,667 shares of the Company’s common stock in exchange for the cancellation of the $2,400,000 Seller Note. On March 25, 2015, the Company issued the shares of common stock pursuant to the Release Letter. The carrying value, net of the discount at the time of the redemption of the $2.4 million Ripka Seller Notes was $1.79 million and, as a result, the Company recorded a loss on the early extinguishment of debt of $0.61 million during the Prior Year, which is included in other expenses (income) in the accompanying consolidated statements of operations.</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On April 21, 2015, the Company satisfied an additional $3.0 million principal amount of the Ripka Seller Notes by issuing 333,334 shares of the Company’s common stock. The carrying value, net of the discount at the time of the redemption of the $3.0 million Ripka Seller Notes was $2.24 million and, as a result, the Company recorded a loss on the early extinguishment of debt of $0.76 million during the Prior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Year and Prior Year, the Company incurred interest expense of $36,000 and $105,000, respectively, which consisted solely of amortization of the discount on the Ripka Seller Notes. The Ripka Seller Notes balance, net of discount, at December 31, 2016 and 2015 was $504,000 and $469,000,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IM Seller (IM Earn-Out)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 Ready was eligible to earn additional shares of common stock with a value of up to $7.5 million (the “IM Earn-Out Value”) for the 12-month period ended September 30, 2015, with such earn-out payment contingent upon the Isaac Mizrahi Business achieving a certain net royalty income target (the “IM Earn-Out Obligation”).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Prior Year, the Company recorded a $3.0 million gain on the reduction of contingent obligations in the accompanying consolidated statements of operations. Prior to the that reduction, the IM Earn-Out Obligation was based on the $7.5 million Earn-Out Value multiplied by 40%, the applicable percentage. The applicable percentage was based on an estimated royalty target range. The reduction in the IM Earn-Out Obligation in the Prior Year was based primarily on a revision of projected future net royalty income related to the Isaac Mizrahi Brand during the earn-out period ending September 30, 2015. The IM Earn-Out Obligation was reduced as a result of the timing of projected future net royalty income of the Isaac Mizrahi Business, which diminished the probability of achieving the remaining royalty target. This adjustment resulted from the Company having better visibility as to its 2015 royalties given updated Isaac Mizrahi Brand product sales information. IM Ready did not meet the net royalty income target for the 12-month period ended September 30, 2015 and, accordingly, the IM Earn-Out Obligation expired and the Company did not issue additional shares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IM Seller (QVC Earn-Out)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obligated to pay IM Ready $2.76 million, payable in cash or common stock, at the Company’s option, contingent upon IM Brands receiving aggregate net royalty income of at least $2.5 million from QVC in the twelve-month period ended September 30, 2015 with the number of shares of such stock based upon the greater of (x) $4.50 per share, and (y) the average stock price for the last twenty business days prior to the time of such issuance. The $2.5 million in net royalty income from QVC for the twelve-month period ended September 30, 2015 was met and, therefore, the Company issued IM Ready 290,473 shares of common stock, valued at $2.51 million as of September 30, 2015 and made a $0.25 million payment in cash in January 2016 to satisfy this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QVC Earn-Out of $0.25 million was recorded as a current liability in the accompanying consolidated balance sheet as of December 31,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purchase of the Ripka Brand, the Company agreed to pay Ripka additional consideration of up to $5 million in aggregate, payable in cash or shares of the Company’s common stock based on the fair value of the Company’s common stock at the time of payment, and with a floor of $7.00 per share, based on the Ripka Brand achieving in excess of $1 million of net royalty income (excluding revenues generated by interactive television sales) during each of the 12-month periods ending on October 1, 2016, 2017 and 2018, less the sum of all earn-out payments for any prior earn-out period. The Ripka Earn-Out was recorded at a value of $3.78 million based on the difference between the fair value of the acquired assets of the Ripka Brand at the acquisition date and the total consideration paid. In accordance with ASC Topic 480, “Distinguishing Liabilities from Equity,” the Ripka Earn-Out obligation was classified as a liability in the accompanying consolidated balance sheets because of the variable number of shares payable under the agreement.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21, 2016, the Company entered into an agreement with the sellers of the Ripka Brand which amended the terms of the Ripka Earn-Out, such that the maximum amount of earn-out consideration was reduced to $0.38 million, of which $0.18 million was payable in cash upon execution of the amendment, and $0.10 million is payable in cash on each of May 15, 2018 and 2019. The payment of the remaining future payments of $0.20 million under the earn-out is contingent upon the Ripka Brand achieving at least $6 million of net royalty income from QVC during each of the 12-month periods ending on March 31, 2018 and 2019. The reduction of the Ripka Earn-Out liability from its previous carrying value of $3.78 million to $0.38 million resulted in a gain on reduction of contingent obligations in the Current Year of approximately $3.41 million. The remaining expected value (which approximates fair value) of the Ripka Earn-Out of $0.20 million is recorded as long-term debt at December 31, 2016 on the consolidated balance sheet.</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Contingent Obligation – CW Seller (C Wonder Earn-Out)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purchase of the C Wonder Brand, the Company agreed to pay the seller additional consideration,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consolidated balance sheets based on the probability of the C Wonder Brand achieving certain net royalty income targets within the earn-out periods and then calculating the present value of the weighted average payment amount. In accordance with ASC Topic 480, “Distinguishing Liabilities from Equity,” the C Wonder Earn-Out obligation is classified as a liability in the accompanying consolidated balance sheets because of the variable number of shares payable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total contingent obligations were $3.05 million and $6.88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authority to issue up to 36,000,000 shares, consisting of 35,000,000 shares of common stock and 1,000,000 shares of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5, 2015, the Company consummated an underwritten public offering of 1,800,000 shares of its common stock at a price of $9.00 per share generating gross proceeds of $16,200,000, before underwriting discounts and commissions and other offering expenses of approximately $2,011,000. In addition, the Company granted the underwriter an option to purchase up to an additional 270,000 shares of common stock. The underwriter partially exercised its option to purchase 213,128 shares of common stock, generating gross proceeds of $1,918,000. The Company’s common stock began trading on the NASDAQ Global Market under the symbol “XELB” on July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September 13, 2016, the Plan was amended to (a) increase the number of shares of common stock reserved and available for distribution under the Plan from 8,000,000 to 13,000,000, and (b) increase the maximum number of shares of common stock with respect to which options or restricted stock may be granted to any participant from 5,000,000 to 10,000,000.</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Current Year is as follows: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9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9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 Years)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2,606,500</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(537,000)</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920" w:type="dxa"/>
            <w:vAlign w:val="bottom"/>
          </w:tcPr>
          <w:p>
            <w:pPr>
              <w:spacing w:after="0"/>
              <w:rPr>
                <w:sz w:val="20"/>
                <w:szCs w:val="20"/>
                <w:color w:val="auto"/>
              </w:rPr>
            </w:pPr>
            <w:r>
              <w:rPr>
                <w:rFonts w:ascii="Arial" w:cs="Arial" w:eastAsia="Arial" w:hAnsi="Arial"/>
                <w:sz w:val="18"/>
                <w:szCs w:val="18"/>
                <w:color w:val="auto"/>
              </w:rPr>
              <w:t>Outstanding at December 31, 2016, and expected to vest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2,436,000</w:t>
            </w:r>
          </w:p>
        </w:tc>
        <w:tc>
          <w:tcPr>
            <w:tcW w:w="2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197"/>
        </w:trPr>
        <w:tc>
          <w:tcPr>
            <w:tcW w:w="4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2016</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141,333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2016, the Company granted options to purchase an aggregate of 100,000 shares of common stock to a member of management. The exercise price of the options is $7.00 per share. One-third of the options vested December 31, 2016, and one-third of the options will vest on each of December 31, 2017 and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2016, the Company granted options to purchase an aggregate of 1,671,500 shares of common stock to certain executives, non-executive management, and employees. The exercise price of the options is $5.80 per share, and one-third of the options will vest on each of March 31, 2017, March 31, 2018, and March 31,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2016, the Company granted options to purchase an aggregate of 500,000 shares of common stock to certain key employees. The exercise price for 100,000 of these options is $5.80 per share, and such options will vest on January 1, 2017. The exercise price of the remaining 400,000 options is $7.50 per share, and the vesting of such options is dependent upon the achievement of certain royalty income targets.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granted options to purchase an aggregate of 150,000 shares of common stock to non-management directors. The exercise price of the options is $5.80 per share, and 50% of the options will vest on each of March 31, 2017 and March 31, 2018.</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11, 2016, the Company granted options to purchase an aggregate of 25,000 shares of common stock to a newly appointed non-management director. The exercise price of the options is $5.15 per share, and 50% of the options will vest on each of August 31, 2017 and August 31, 2018.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2016, the Company granted options to purchase an aggregate of 10,000 shares of common stock to a member of non-executive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the options is $4.99 per share, and one-third of the options will vest on each of October 1, 2017, October 1, 2018, and October 1, 2019.</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31, 2016, the Company granted options to purchase an aggregate of 150,000 shares of common stock to three independent directors. The exercise price of the options is $5.00 per share, and 50% of the options will vest on each of October 31, 2017 and October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2015.</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The fair value for options granted was estimated at the date of grant using the Black-Scholes option pricing model with the following assumptions:</w:t>
      </w:r>
    </w:p>
    <w:p>
      <w:pPr>
        <w:spacing w:after="0" w:line="24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54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5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33.25 – 34.85%</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 in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5.32</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jc w:val="right"/>
              <w:spacing w:after="0"/>
              <w:rPr>
                <w:sz w:val="20"/>
                <w:szCs w:val="20"/>
                <w:color w:val="auto"/>
              </w:rPr>
            </w:pPr>
            <w:r>
              <w:rPr>
                <w:rFonts w:ascii="Arial" w:cs="Arial" w:eastAsia="Arial" w:hAnsi="Arial"/>
                <w:sz w:val="18"/>
                <w:szCs w:val="18"/>
                <w:color w:val="auto"/>
              </w:rPr>
              <w:t>0.91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1.21%</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Year and Prior Year was $863,000 and $66,000, respectively. Total unrecognized compensation expense related to unvested stock options at December 31, 2016 amounts to $2,490,000 and is expected to be recognized over a weighted average period of 2.48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Year:</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2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2,606,500</w:t>
            </w:r>
          </w:p>
        </w:tc>
        <w:tc>
          <w:tcPr>
            <w:tcW w:w="1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1.43</w:t>
            </w:r>
          </w:p>
        </w:tc>
      </w:tr>
      <w:tr>
        <w:trPr>
          <w:trHeight w:val="216"/>
        </w:trPr>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(80,833)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1.19</w:t>
            </w:r>
          </w:p>
        </w:tc>
      </w:tr>
      <w:tr>
        <w:trPr>
          <w:trHeight w:val="230"/>
        </w:trPr>
        <w:tc>
          <w:tcPr>
            <w:tcW w:w="720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(278,500)</w:t>
            </w:r>
          </w:p>
        </w:tc>
        <w:tc>
          <w:tcPr>
            <w:tcW w:w="1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1.43</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by the Company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 activity for the Current Year is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2,219,543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3.23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(218,000)</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Outstanding and exercisable at December 31, 2016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1,966,743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9"/>
                <w:szCs w:val="19"/>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2.81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warrants to purchase shares of common stock during the Current Year or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recorded in the Current Year or Prior Year related to warrants.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activity for the Current Year is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Restricted</w:t>
            </w: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1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1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3,530,485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273,243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(619,768)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3,171,685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2015, the Company issued to a non-executive employee 25,000 shares of restricted stock. The shares of restricted stock vest evenly over two years, whereby 50% shall vest on January 1, 2016 and 50% shall vest on January 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2015, the Company issued non-executive employees 18,167 shares of fully vested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2015, the Company issued to non-management directors 50,000 shares of restricted stock. The shares of restricted stock will vest evenly over two years, whereby 50% shall vest on March 31, 2016 and 50% shall vest on March 31, 2017.</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On May 19</w:t>
      </w:r>
      <w:r>
        <w:rPr>
          <w:rFonts w:ascii="Arial" w:cs="Arial" w:eastAsia="Arial" w:hAnsi="Arial"/>
          <w:sz w:val="18"/>
          <w:szCs w:val="18"/>
          <w:b w:val="1"/>
          <w:bCs w:val="1"/>
          <w:color w:val="auto"/>
        </w:rPr>
        <w:t>,</w:t>
      </w:r>
      <w:r>
        <w:rPr>
          <w:rFonts w:ascii="Arial" w:cs="Arial" w:eastAsia="Arial" w:hAnsi="Arial"/>
          <w:sz w:val="18"/>
          <w:szCs w:val="18"/>
          <w:color w:val="auto"/>
        </w:rPr>
        <w:t xml:space="preserve"> 2015, the Company issued certain executive officers and employees 417,500 shares of restricted stock. The shares of restricted stock vest evenly over two years, whereby 50% vest on April 30, 2016 and 50% vest on April 30, 2017.</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2015, the Company issued a non-management director 75,000 shares of restricted stock. The shares of restricted stock will vest evenly over three years, whereby 33.33% shall vest on each of May 31, 2016, 2017 and 2018,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2015, the Company issued employees 8,000 shares of restricted stock. The shares of restricted stock vest evenly over two years, whereby 50% vest on April 30, 2016 and 50% vest on April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2015, the Company issued an employee 2,025 shares of fully vested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2016, the Company issued to a key employee 17,242 shares of restricted stock. The shares of restricted stock vested over six months.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a member of management 50,000 shares of restricted stock. The shares of restricted stock vest evenly over 4 years, whereby 25% shall vest on each of March 31, 2017, March 31, 2018, March 31, 2019, and March 31,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2016, the Company issued to certain executives an aggregate of 150,001 shares of restricted stock. The shares of restricted stock vest evenly over three years, whereby one-third shall vest on each of March 31, 2017, March 31, 2018, and March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non-management directors an aggregate of 48,000 shares of restricted stock. The shares of restricted stock will vest evenly over two years, whereby 50% shall vest on March 31, 2017 and 50% shall vest on March 31,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11, 2016, the Company issued to a newly appointed non-management director an aggregate of 8,000 shares of restricted stock. The shares of restricted stock will vest evenly over two years, whereby 50% shall vest on August 31, 2017 and 50% shall vest on August 31, 2018.</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Compensation expense related to restricted stock grants for the Current Year and Prior Year was $3,864,000 and $4,574,000, respectively. Total unrecognized compensation expense related to unvested restricted stock grants at December 31, 2016 amounts to $2,046,000 and is expected to be recognized over a weighted average period of 1.53 years.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provides information with respect to purchases by the Company of restricted stock during the Current Year and Prior Year.</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Actual</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Publically</w:t>
            </w: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Price Paid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Re-Purchased</w:t>
            </w:r>
          </w:p>
        </w:tc>
        <w:tc>
          <w:tcPr>
            <w:tcW w:w="0" w:type="dxa"/>
            <w:vAlign w:val="bottom"/>
          </w:tcPr>
          <w:p>
            <w:pPr>
              <w:spacing w:after="0"/>
              <w:rPr>
                <w:sz w:val="1"/>
                <w:szCs w:val="1"/>
                <w:color w:val="auto"/>
              </w:rPr>
            </w:pPr>
          </w:p>
        </w:tc>
      </w:tr>
      <w:tr>
        <w:trPr>
          <w:trHeight w:val="234"/>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 Share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2016 (i)</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September 30, 2016 (i)</w:t>
            </w:r>
          </w:p>
        </w:tc>
        <w:tc>
          <w:tcPr>
            <w:tcW w:w="1120" w:type="dxa"/>
            <w:vAlign w:val="bottom"/>
          </w:tcPr>
          <w:p>
            <w:pPr>
              <w:jc w:val="right"/>
              <w:spacing w:after="0"/>
              <w:rPr>
                <w:sz w:val="20"/>
                <w:szCs w:val="20"/>
                <w:color w:val="auto"/>
              </w:rPr>
            </w:pPr>
            <w:r>
              <w:rPr>
                <w:rFonts w:ascii="Arial" w:cs="Arial" w:eastAsia="Arial" w:hAnsi="Arial"/>
                <w:sz w:val="18"/>
                <w:szCs w:val="18"/>
                <w:color w:val="auto"/>
              </w:rPr>
              <w:t>182,100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2016 (i)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December 1, 2016 (i)</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32,928</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2016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2015 (i)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December 17, 2015 (ii)</w:t>
            </w: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2015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All of the shares of restricted stock in the preceding table were originally granted to employees and directors as restricted stock pursuant to the Plan.</w:t>
      </w:r>
    </w:p>
    <w:p>
      <w:pPr>
        <w:spacing w:after="0" w:line="170" w:lineRule="exact"/>
        <w:rPr>
          <w:sz w:val="20"/>
          <w:szCs w:val="20"/>
          <w:color w:val="auto"/>
        </w:rPr>
      </w:pPr>
    </w:p>
    <w:p>
      <w:pPr>
        <w:ind w:left="1080" w:hanging="356"/>
        <w:spacing w:after="0" w:line="25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1" w:lineRule="exact"/>
        <w:rPr>
          <w:rFonts w:ascii="Arial" w:cs="Arial" w:eastAsia="Arial" w:hAnsi="Arial"/>
          <w:sz w:val="18"/>
          <w:szCs w:val="18"/>
          <w:color w:val="auto"/>
        </w:rPr>
      </w:pPr>
    </w:p>
    <w:p>
      <w:pPr>
        <w:ind w:left="1080" w:hanging="356"/>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13,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there were 6,127,841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2016, there were 10,530,584 shares of common stock reserved for issuance pursuant to unexercised warrants and stock options, or available for issuance under the Plan.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Dividends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The Company has not paid any dividends to date.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8. Earnings Per Share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Shares used in calculating basic and diluted net earnings per share are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4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12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144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18,625,670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16,151,163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414,131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946,902</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125,175</w:t>
            </w:r>
          </w:p>
        </w:tc>
        <w:tc>
          <w:tcPr>
            <w:tcW w:w="60" w:type="dxa"/>
            <w:vAlign w:val="bottom"/>
            <w:shd w:val="clear" w:color="auto" w:fill="CCEEFF"/>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19,044,749</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17,223,240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2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Year Ended December</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60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CCEEFF"/>
            </w:tcBorders>
          </w:tcPr>
          <w:p>
            <w:pPr>
              <w:spacing w:after="0"/>
              <w:rPr>
                <w:sz w:val="19"/>
                <w:szCs w:val="19"/>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3,063,000</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(the “Letter of Credit”) from BHI for a sum not exceeding $1,109,000. The Company has deposited this amount with BHI as collateral for the Letter of Credit and recorded the amount as restricted cash in the consolidated balance sheets as of December 31, 2016 and December 31, 2015.</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leases office space under an operating lease agreement at another location in New York City, representing the Company’s former corporate offices and operations facility. This lease shall expire on February 28, 2022. This office space is currently subleased to a third-party subtenant through December 12, 2018, with a renewal option to extend the sublease term through February 27,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terms of the Company’s noncancelable operating lease agreements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6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Payments</w:t>
            </w: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2,423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2,577</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9,234</w:t>
            </w:r>
          </w:p>
        </w:tc>
      </w:tr>
      <w:tr>
        <w:trPr>
          <w:trHeight w:val="223"/>
        </w:trPr>
        <w:tc>
          <w:tcPr>
            <w:tcW w:w="70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future noncancelable minimum lease payments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leases require the Company to pay additional rents related to increases in certain taxes and other costs on the properties. Total rent expense was $1,633,000 and $919,000 for the years ended December 31, 2016 and 2015,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minimum lease payments to be received in the future under noncancelable sublease agreements as of December 31, 2016 are $1,518,000. Total sublease payments received for the years ended December 31, 2016 and 2015 were $369,000 and $0, respectively. Sublease payments received are credited against the exit cost liability on the Company's consolidated balance sheet; see Note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b w:val="1"/>
                <w:bCs w:val="1"/>
                <w:color w:val="auto"/>
                <w:w w:val="94"/>
              </w:rPr>
              <w:t>Employment</w:t>
            </w:r>
          </w:p>
        </w:tc>
      </w:tr>
      <w:tr>
        <w:trPr>
          <w:trHeight w:val="216"/>
        </w:trPr>
        <w:tc>
          <w:tcPr>
            <w:tcW w:w="6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Contract</w:t>
            </w:r>
          </w:p>
        </w:tc>
      </w:t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Payments</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2,589</w:t>
            </w:r>
          </w:p>
        </w:tc>
        <w:tc>
          <w:tcPr>
            <w:tcW w:w="40" w:type="dxa"/>
            <w:vAlign w:val="bottom"/>
          </w:tcPr>
          <w:p>
            <w:pPr>
              <w:spacing w:after="0"/>
              <w:rPr>
                <w:sz w:val="18"/>
                <w:szCs w:val="18"/>
                <w:color w:val="auto"/>
              </w:rPr>
            </w:pPr>
          </w:p>
        </w:tc>
      </w:tr>
      <w:tr>
        <w:trPr>
          <w:trHeight w:val="23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w:t>
            </w:r>
          </w:p>
        </w:tc>
        <w:tc>
          <w:tcPr>
            <w:tcW w:w="40" w:type="dxa"/>
            <w:vAlign w:val="bottom"/>
            <w:shd w:val="clear" w:color="auto" w:fill="CCEEFF"/>
          </w:tcPr>
          <w:p>
            <w:pPr>
              <w:spacing w:after="0"/>
              <w:rPr>
                <w:sz w:val="19"/>
                <w:szCs w:val="19"/>
                <w:color w:val="auto"/>
              </w:rPr>
            </w:pPr>
          </w:p>
        </w:tc>
      </w:tr>
      <w:tr>
        <w:trPr>
          <w:trHeight w:val="223"/>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Total future minimum employment contract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$8.7 million at December 31, 2016.</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10. Facility Exit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recorded a net non-cash charge of approximately $648,000 associated with the recognition of this liability. The Company also incurred certain cash costs of approximately $15,000 related to the exit from its former office space, and incurred a loss of approximately $7,000 associated with the sale of certain equipment. These amounts, totaling approximately $670,000, were recorded as a component of operating expenses in the accompanying consolidated statements of operations for the Current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the remaining balance of the exit cost liability related to the former office space was approximately $783,000, of which $160,000 was recorded in other current liabilities and $623,000 was recorded in other long-term liabilities in the accompanying consolidated balance sheets. The balance of this liability will be paid out over a period of approximately 5 years, through February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A summary of the activity related to the exit cost liability for the Current Year is as follows:</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8740" w:type="dxa"/>
            <w:vAlign w:val="bottom"/>
            <w:gridSpan w:val="3"/>
          </w:tcPr>
          <w:p>
            <w:pPr>
              <w:ind w:left="1720"/>
              <w:spacing w:after="0"/>
              <w:rPr>
                <w:sz w:val="20"/>
                <w:szCs w:val="20"/>
                <w:color w:val="auto"/>
              </w:rPr>
            </w:pPr>
            <w:r>
              <w:rPr>
                <w:rFonts w:ascii="Arial" w:cs="Arial" w:eastAsia="Arial" w:hAnsi="Arial"/>
                <w:sz w:val="18"/>
                <w:szCs w:val="18"/>
                <w:color w:val="auto"/>
              </w:rPr>
              <w:t>($ in thousands)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Non-cash costs incurred and charged to expense</w:t>
            </w:r>
          </w:p>
        </w:tc>
        <w:tc>
          <w:tcPr>
            <w:tcW w:w="3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of previously-recognized deferred balance sheet amounts related to lease</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payments, net</w:t>
            </w:r>
          </w:p>
        </w:tc>
        <w:tc>
          <w:tcPr>
            <w:tcW w:w="3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1720" w:type="dxa"/>
            <w:vAlign w:val="bottom"/>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w:t>
            </w: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federal and state and local income taxes in the consolidated statements of operations consists of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41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Federal</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27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2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provision</w:t>
            </w:r>
          </w:p>
        </w:tc>
        <w:tc>
          <w:tcPr>
            <w:tcW w:w="2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reconciliation of income tax computed at the federal and state and local statutory rates to the Company’s income before taxes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600" w:type="dxa"/>
            <w:vAlign w:val="bottom"/>
            <w:gridSpan w:val="13"/>
          </w:tcPr>
          <w:p>
            <w:pPr>
              <w:jc w:val="right"/>
              <w:ind w:right="42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16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statutory federal rate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State and local rate, net of federal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reduction of contingent obligation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compensation deduction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Foreign tax credits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Life insurance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Other permanent differences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8"/>
                <w:szCs w:val="18"/>
                <w:color w:val="auto"/>
              </w:rPr>
              <w:t>The significant components of net deferred tax liabilities of the Company consist of the following:</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60" w:type="dxa"/>
            <w:vAlign w:val="bottom"/>
            <w:gridSpan w:val="3"/>
          </w:tcPr>
          <w:p>
            <w:pPr>
              <w:ind w:left="860"/>
              <w:spacing w:after="0"/>
              <w:rPr>
                <w:sz w:val="20"/>
                <w:szCs w:val="20"/>
                <w:color w:val="auto"/>
              </w:rPr>
            </w:pPr>
            <w:r>
              <w:rPr>
                <w:rFonts w:ascii="Arial" w:cs="Arial" w:eastAsia="Arial" w:hAnsi="Arial"/>
                <w:sz w:val="18"/>
                <w:szCs w:val="18"/>
                <w:color w:val="auto"/>
              </w:rPr>
              <w:t>($ in thousands)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1"/>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state and local net operating loss carryforwards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other accrued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Basis difference arising from discounted note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tax credit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Charitable contribution carryover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10,175</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7,766</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8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Basis difference arising from intangible assets of acquisition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(17,037)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(14,515)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1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(14,515</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(6,901</w:t>
            </w: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(6,749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Current Year, the Company recorded a $3.4 million gain on the reduction of contingent obligations related to the acquisition of the Ripka Brand (see Note 6). This gain was not subject to U.S. Federal income tax.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Prior Year, the Company recorded a $3.0 million gain on the reduction of contingent obligations related to the acquisition of IM Ready (see Note 6). This gain was not subject to U.S. Federal income tax.</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2016 and 2015,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12. Discontinued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Discontinued operations represent the net sales and expenses related to the Company’s retail operations. Retail operations were discontinued in December 2014, with wind down and closure activities essentially completed by the end of 2015. A summary of results of discontinued operations for the Current Year and Prior Year is as follows (in thousands, except share and per share data):</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8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Gain (loss) from disposal of discontinued operations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discontinued operations, net</w:t>
            </w:r>
          </w:p>
        </w:tc>
        <w:tc>
          <w:tcPr>
            <w:tcW w:w="1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Earnings (loss) per share from discontinued operations,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18,625,670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16,151,163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19,044,749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17,223,240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were not material as of December 31, 2016 and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Todd Slater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 director of the Company from October 17, 2011 through August 9, 2016, for services related to the Company’s licensing strategy and introduction to potential licensees. During the term of the agreement or during the year following the expiration of the term of the agreement, if the Company entered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capitalized this payment and amortized the expense in accordance with the revenue earned from the respective licensing agreements on which this payment was based.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direct licensing costs with Mr. Slater from amortization of the one-time payment stated above for the Prior Year of $32,000.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Dweck Licensing Agent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 2011, the Company entered into a licensing agent agreement with Adam Dweck, son of Jack Dweck, a former director of the Company, pursuant to which he is entitled to a five percent commission on any royalties the Company receives under any new license agreements that he procures for the Company for the initial term of such license agreements. Adam Dweck earned approximately $1,000 and $14,000 in fees for the Current Year and Prior Year,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14, 2015, and amended on June 24, 2015, the Company entered into a consulting agreement with Jones Texas, Inc. ("JTI"), whose controlling shareholder is Edward Jones, a director of the Company. The agreement, as amended, provided for fees payable to JTI up to $75,000 for consulting services related to due diligence on the C Wonder brand prior to acquisition. The Company paid fees to JTI of $75,000 during the Prior Year.</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During the Current Year, Edward Jones performed consulting services for and received compensation from a certain licensee of the Company (the “Licensee”). Under the terms of the Company’s agreement with the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the acquisition of the H Halston Brand on December 22, 2014, the Company entered into a license agreement with The H Company IP, LLC (“HIP”),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on an annual basis the greater of (i) 50% of royalties received under the L&amp;T License from H Halston products or (ii) guaranteed minimum royalties. Provided that Lord &amp; Taylor is paying the Company at least $1,000,000 per quarter under the L&amp;T License, the remaining contractually guaranteed minimum royalties are equal to $0.75 million, $0.75 million, $1.5 million and $1.75 million for the twelve months ending January 31, 2018, 2019, 2020, and 2021, respectively. Royalties paid to HIP by the Company or on the Company’s behalf for the seventeen months ended January 31, 2017 were $0.19 million.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Marisa Gardini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terms and conditions of the C Wonder Purchase Agreement, the Company paid Marisa Gardini, a former director of the Company, a $240,000 commission fee for the acquisition of the C Wonder Brand in the Prior Year. The amount of the payment was considered a direct acquisition cost of the C Wonder Brand and accordingly was included as a component of the purchase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16, 2015, the Company purchased 5,000 shares of its common stock from James Haran, Chief Financial Officer of the Company, at $7.25 per share, the closing sale price of the Company’s common stock on that day. The Company determined that it was in the best interests of the Company to purchase these shares of common stock from Mr. Haran in lieu of his selling the shares in the open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2017, the Company granted options to purchase an aggregate of 500,000 shares of common stock to a certain executive in connection with the entry into an amended and restated employment agreement with such executive. The exercise price of the options is $5.00 per share, and the option vests as to 100,000 shares on each of January 1, 2018, 2019, 2020, 2021, and 2022. The option expires as to such shares on the five year anniversary of the respective dates on which the option becomes exercisable.</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31, 2017, the Company entered into a two-year consulting agreement (the “Consulting Agreement”) with JTI, whose controlling shareholder is Edward Jones, a director of the Company, pursuant to which JTI shall cause Mr. Jones to provide consulting services in connection with the Company’s quick-time-response fashion program, assisting the Company with sourcing suppliers for its women’s apparel and establishing and managing a men’s quick-time-response platform. Pursuant to the Consulting Agreement, the Company shall (i) issue to JTI an aggregate of 78,334 shares of its common stock, vesting as to 39,167 shares on the date of the Consulting Agreement and 39,167 of the shares on January 30, 2018, and (ii) pay to JTI an aggregate cash consulting fee of $300,000 payable in installments of $75,000 on each of January 31, April 30, July 31 and October 31, 2017; provided, however, that (i) up to 25,000 shares of common stock shall be subject to forfeiture if the Company’s business with suppliers of women’s apparel is materially diminished and (ii) up to $150,000 of the cash consulting fee is subject to forfeiture in the event a contemplated project for which JTI will be performing services is not completed.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On February 24, 2017, the Company entered into an agreement with BHI which amended certain terms of the Xcel Term Loan. See Note 6, Debt.</w:t>
      </w: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Chief Executive Officer and Chief Financial Officer evaluated the effectiveness of our disclosure controls and procedures as defined in Rule 13a-15(f) and 15d-15(f) of the Securities Exchange Act of 1934, as amended (the “Exchange Act”), as of December 31, 2016. Based on that evaluation, our Chief Executive Officer and Chief Financial Officer concluded that our disclosure controls and procedures were effective at the reasonable assurance level, as of December 31, 2016,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2016.</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both"/>
        <w:ind w:left="1440" w:hanging="1431"/>
        <w:spacing w:after="0" w:line="282" w:lineRule="auto"/>
        <w:tabs>
          <w:tab w:leader="none" w:pos="14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Promoters, Control Persons and Corporate Governance; Compliance with Section 16(a) of the Exchange Act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ind w:left="260"/>
              <w:spacing w:after="0"/>
              <w:rPr>
                <w:sz w:val="20"/>
                <w:szCs w:val="20"/>
                <w:color w:val="auto"/>
              </w:rPr>
            </w:pPr>
            <w:r>
              <w:rPr>
                <w:rFonts w:ascii="Arial" w:cs="Arial" w:eastAsia="Arial" w:hAnsi="Arial"/>
                <w:sz w:val="18"/>
                <w:szCs w:val="18"/>
                <w:b w:val="1"/>
                <w:bCs w:val="1"/>
                <w:color w:val="auto"/>
              </w:rPr>
              <w:t>AGE</w:t>
            </w:r>
          </w:p>
        </w:tc>
        <w:tc>
          <w:tcPr>
            <w:tcW w:w="732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Robert W. D’Loren</w:t>
            </w:r>
          </w:p>
        </w:tc>
        <w:tc>
          <w:tcPr>
            <w:tcW w:w="1080" w:type="dxa"/>
            <w:vAlign w:val="bottom"/>
          </w:tcPr>
          <w:p>
            <w:pPr>
              <w:ind w:left="260"/>
              <w:spacing w:after="0"/>
              <w:rPr>
                <w:sz w:val="20"/>
                <w:szCs w:val="20"/>
                <w:color w:val="auto"/>
              </w:rPr>
            </w:pPr>
            <w:r>
              <w:rPr>
                <w:rFonts w:ascii="Arial" w:cs="Arial" w:eastAsia="Arial" w:hAnsi="Arial"/>
                <w:sz w:val="18"/>
                <w:szCs w:val="18"/>
                <w:color w:val="auto"/>
              </w:rPr>
              <w:t>59</w:t>
            </w:r>
          </w:p>
        </w:tc>
        <w:tc>
          <w:tcPr>
            <w:tcW w:w="7320" w:type="dxa"/>
            <w:vAlign w:val="bottom"/>
          </w:tcPr>
          <w:p>
            <w:pPr>
              <w:ind w:left="420"/>
              <w:spacing w:after="0"/>
              <w:rPr>
                <w:sz w:val="20"/>
                <w:szCs w:val="20"/>
                <w:color w:val="auto"/>
              </w:rPr>
            </w:pPr>
            <w:r>
              <w:rPr>
                <w:rFonts w:ascii="Arial" w:cs="Arial" w:eastAsia="Arial" w:hAnsi="Arial"/>
                <w:sz w:val="18"/>
                <w:szCs w:val="18"/>
                <w:color w:val="auto"/>
              </w:rPr>
              <w:t>Chairman of the Board of Directors and Chief Executive Officer and President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James F. Haran</w:t>
            </w:r>
          </w:p>
        </w:tc>
        <w:tc>
          <w:tcPr>
            <w:tcW w:w="1080" w:type="dxa"/>
            <w:vAlign w:val="bottom"/>
          </w:tcPr>
          <w:p>
            <w:pPr>
              <w:ind w:left="260"/>
              <w:spacing w:after="0"/>
              <w:rPr>
                <w:sz w:val="20"/>
                <w:szCs w:val="20"/>
                <w:color w:val="auto"/>
              </w:rPr>
            </w:pPr>
            <w:r>
              <w:rPr>
                <w:rFonts w:ascii="Arial" w:cs="Arial" w:eastAsia="Arial" w:hAnsi="Arial"/>
                <w:sz w:val="18"/>
                <w:szCs w:val="18"/>
                <w:color w:val="auto"/>
              </w:rPr>
              <w:t>56</w:t>
            </w:r>
          </w:p>
        </w:tc>
        <w:tc>
          <w:tcPr>
            <w:tcW w:w="7320" w:type="dxa"/>
            <w:vAlign w:val="bottom"/>
          </w:tcPr>
          <w:p>
            <w:pPr>
              <w:ind w:left="420"/>
              <w:spacing w:after="0"/>
              <w:rPr>
                <w:sz w:val="20"/>
                <w:szCs w:val="20"/>
                <w:color w:val="auto"/>
              </w:rPr>
            </w:pPr>
            <w:r>
              <w:rPr>
                <w:rFonts w:ascii="Arial" w:cs="Arial" w:eastAsia="Arial" w:hAnsi="Arial"/>
                <w:sz w:val="18"/>
                <w:szCs w:val="18"/>
                <w:color w:val="auto"/>
                <w:w w:val="91"/>
              </w:rPr>
              <w:t>Chief Financial Officer and Assistant Secretary, and Principal Financial and Accounting Officer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Giuseppe “Joe” Falco</w:t>
            </w:r>
          </w:p>
        </w:tc>
        <w:tc>
          <w:tcPr>
            <w:tcW w:w="1080" w:type="dxa"/>
            <w:vAlign w:val="bottom"/>
          </w:tcPr>
          <w:p>
            <w:pPr>
              <w:ind w:left="260"/>
              <w:spacing w:after="0"/>
              <w:rPr>
                <w:sz w:val="20"/>
                <w:szCs w:val="20"/>
                <w:color w:val="auto"/>
              </w:rPr>
            </w:pPr>
            <w:r>
              <w:rPr>
                <w:rFonts w:ascii="Arial" w:cs="Arial" w:eastAsia="Arial" w:hAnsi="Arial"/>
                <w:sz w:val="18"/>
                <w:szCs w:val="18"/>
                <w:color w:val="auto"/>
              </w:rPr>
              <w:t>45</w:t>
            </w:r>
          </w:p>
        </w:tc>
        <w:tc>
          <w:tcPr>
            <w:tcW w:w="7320" w:type="dxa"/>
            <w:vAlign w:val="bottom"/>
          </w:tcPr>
          <w:p>
            <w:pPr>
              <w:ind w:left="42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Seth Burroughs</w:t>
            </w:r>
          </w:p>
        </w:tc>
        <w:tc>
          <w:tcPr>
            <w:tcW w:w="1080" w:type="dxa"/>
            <w:vAlign w:val="bottom"/>
          </w:tcPr>
          <w:p>
            <w:pPr>
              <w:ind w:left="260"/>
              <w:spacing w:after="0"/>
              <w:rPr>
                <w:sz w:val="20"/>
                <w:szCs w:val="20"/>
                <w:color w:val="auto"/>
              </w:rPr>
            </w:pPr>
            <w:r>
              <w:rPr>
                <w:rFonts w:ascii="Arial" w:cs="Arial" w:eastAsia="Arial" w:hAnsi="Arial"/>
                <w:sz w:val="18"/>
                <w:szCs w:val="18"/>
                <w:color w:val="auto"/>
              </w:rPr>
              <w:t>37</w:t>
            </w:r>
          </w:p>
        </w:tc>
        <w:tc>
          <w:tcPr>
            <w:tcW w:w="7320" w:type="dxa"/>
            <w:vAlign w:val="bottom"/>
          </w:tcPr>
          <w:p>
            <w:pPr>
              <w:ind w:left="42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Mark DiSanto</w:t>
            </w:r>
          </w:p>
        </w:tc>
        <w:tc>
          <w:tcPr>
            <w:tcW w:w="1080" w:type="dxa"/>
            <w:vAlign w:val="bottom"/>
          </w:tcPr>
          <w:p>
            <w:pPr>
              <w:ind w:left="260"/>
              <w:spacing w:after="0"/>
              <w:rPr>
                <w:sz w:val="20"/>
                <w:szCs w:val="20"/>
                <w:color w:val="auto"/>
              </w:rPr>
            </w:pPr>
            <w:r>
              <w:rPr>
                <w:rFonts w:ascii="Arial" w:cs="Arial" w:eastAsia="Arial" w:hAnsi="Arial"/>
                <w:sz w:val="18"/>
                <w:szCs w:val="18"/>
                <w:color w:val="auto"/>
              </w:rPr>
              <w:t>54</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Michael R. Francis</w:t>
            </w:r>
          </w:p>
        </w:tc>
        <w:tc>
          <w:tcPr>
            <w:tcW w:w="1080" w:type="dxa"/>
            <w:vAlign w:val="bottom"/>
          </w:tcPr>
          <w:p>
            <w:pPr>
              <w:ind w:left="260"/>
              <w:spacing w:after="0"/>
              <w:rPr>
                <w:sz w:val="20"/>
                <w:szCs w:val="20"/>
                <w:color w:val="auto"/>
              </w:rPr>
            </w:pPr>
            <w:r>
              <w:rPr>
                <w:rFonts w:ascii="Arial" w:cs="Arial" w:eastAsia="Arial" w:hAnsi="Arial"/>
                <w:sz w:val="18"/>
                <w:szCs w:val="18"/>
                <w:color w:val="auto"/>
              </w:rPr>
              <w:t>54</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Richard Kirschenbaum</w:t>
            </w:r>
          </w:p>
        </w:tc>
        <w:tc>
          <w:tcPr>
            <w:tcW w:w="1080" w:type="dxa"/>
            <w:vAlign w:val="bottom"/>
          </w:tcPr>
          <w:p>
            <w:pPr>
              <w:ind w:left="260"/>
              <w:spacing w:after="0"/>
              <w:rPr>
                <w:sz w:val="20"/>
                <w:szCs w:val="20"/>
                <w:color w:val="auto"/>
              </w:rPr>
            </w:pPr>
            <w:r>
              <w:rPr>
                <w:rFonts w:ascii="Arial" w:cs="Arial" w:eastAsia="Arial" w:hAnsi="Arial"/>
                <w:sz w:val="18"/>
                <w:szCs w:val="18"/>
                <w:color w:val="auto"/>
              </w:rPr>
              <w:t>64</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Edward Jones, III</w:t>
            </w:r>
          </w:p>
        </w:tc>
        <w:tc>
          <w:tcPr>
            <w:tcW w:w="1080" w:type="dxa"/>
            <w:vAlign w:val="bottom"/>
          </w:tcPr>
          <w:p>
            <w:pPr>
              <w:ind w:left="260"/>
              <w:spacing w:after="0"/>
              <w:rPr>
                <w:sz w:val="20"/>
                <w:szCs w:val="20"/>
                <w:color w:val="auto"/>
              </w:rPr>
            </w:pPr>
            <w:r>
              <w:rPr>
                <w:rFonts w:ascii="Arial" w:cs="Arial" w:eastAsia="Arial" w:hAnsi="Arial"/>
                <w:sz w:val="18"/>
                <w:szCs w:val="18"/>
                <w:color w:val="auto"/>
              </w:rPr>
              <w:t>69</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Howard Liebman</w:t>
            </w:r>
          </w:p>
        </w:tc>
        <w:tc>
          <w:tcPr>
            <w:tcW w:w="1080" w:type="dxa"/>
            <w:vAlign w:val="bottom"/>
          </w:tcPr>
          <w:p>
            <w:pPr>
              <w:ind w:left="260"/>
              <w:spacing w:after="0"/>
              <w:rPr>
                <w:sz w:val="20"/>
                <w:szCs w:val="20"/>
                <w:color w:val="auto"/>
              </w:rPr>
            </w:pPr>
            <w:r>
              <w:rPr>
                <w:rFonts w:ascii="Arial" w:cs="Arial" w:eastAsia="Arial" w:hAnsi="Arial"/>
                <w:sz w:val="18"/>
                <w:szCs w:val="18"/>
                <w:color w:val="auto"/>
              </w:rPr>
              <w:t>74</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Benjamin Malka</w:t>
            </w:r>
          </w:p>
        </w:tc>
        <w:tc>
          <w:tcPr>
            <w:tcW w:w="1080" w:type="dxa"/>
            <w:vAlign w:val="bottom"/>
          </w:tcPr>
          <w:p>
            <w:pPr>
              <w:ind w:left="260"/>
              <w:spacing w:after="0"/>
              <w:rPr>
                <w:sz w:val="20"/>
                <w:szCs w:val="20"/>
                <w:color w:val="auto"/>
              </w:rPr>
            </w:pPr>
            <w:r>
              <w:rPr>
                <w:rFonts w:ascii="Arial" w:cs="Arial" w:eastAsia="Arial" w:hAnsi="Arial"/>
                <w:sz w:val="18"/>
                <w:szCs w:val="18"/>
                <w:color w:val="auto"/>
              </w:rPr>
              <w:t>55</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biographies of each of our officers and directors as of December 31,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Robert D’Loren </w:t>
      </w:r>
      <w:r>
        <w:rPr>
          <w:rFonts w:ascii="Arial" w:cs="Arial" w:eastAsia="Arial" w:hAnsi="Arial"/>
          <w:sz w:val="18"/>
          <w:szCs w:val="18"/>
          <w:color w:val="auto"/>
        </w:rPr>
        <w:t>has been the Chairman of our board of directors and our Chief Executive Officer and President since September 2011. Mr. D’Loren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entrepreneur, innovator, and pioneer of the consumer branded products industry for the past 35 years. Mr. D’Loren has spearheaded the Company’s ubiquitous-channel platform, connecting the channels of digital, brick-and-mortar, social media, and interactive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Xcel,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Haran </w:t>
      </w:r>
      <w:r>
        <w:rPr>
          <w:rFonts w:ascii="Arial" w:cs="Arial" w:eastAsia="Arial" w:hAnsi="Arial"/>
          <w:sz w:val="18"/>
          <w:szCs w:val="18"/>
          <w:color w:val="auto"/>
        </w:rPr>
        <w:t>has been our Chief Financial Officer since September 2011. Mr. Haran served as CFO of IPX Capital, LLC and its related subsidiaries,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Joe Falco </w:t>
      </w:r>
      <w:r>
        <w:rPr>
          <w:rFonts w:ascii="Arial" w:cs="Arial" w:eastAsia="Arial" w:hAnsi="Arial"/>
          <w:sz w:val="18"/>
          <w:szCs w:val="18"/>
          <w:color w:val="auto"/>
        </w:rPr>
        <w:t>has been our Chief Operating Officer and President of the Isaac Mizrahi Brand since September 2011. Mr. Falco is a merchant with almost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decades 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 From June 2006 to October 2010,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Burroughs served as Vice President of NexCen Brands, Inc. Prior to his role at NexCen, from 2003 to 2006, Mr. Burroughs served as Director of M&amp;A Advisory and Investor Relations at UCC Capital Corporation, an intellectual property investment company, where he worked on a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served as a member of our board of directors since October 2011. Since 1988, Mr. DiSanto has served as the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Michael R. Francis </w:t>
      </w:r>
      <w:r>
        <w:rPr>
          <w:rFonts w:ascii="Arial" w:cs="Arial" w:eastAsia="Arial" w:hAnsi="Arial"/>
          <w:sz w:val="16"/>
          <w:szCs w:val="16"/>
          <w:color w:val="auto"/>
        </w:rPr>
        <w:t>has served as a member of our board of directors since June 2015. Mr. Francis is founder and CEO of Fairview Associates, LLC, a retail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branding 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Richard Kirschenbaum </w:t>
      </w:r>
      <w:r>
        <w:rPr>
          <w:rFonts w:ascii="Arial" w:cs="Arial" w:eastAsia="Arial" w:hAnsi="Arial"/>
          <w:sz w:val="18"/>
          <w:szCs w:val="18"/>
          <w:color w:val="auto"/>
        </w:rPr>
        <w:t>has served as a member of our board of directors since August 2016. Mr. Kirschenbaum has 35 years’ experience in the footwear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He transformed a small family business into a multi-brand regional footwear and accessories chain, The Shoe Box. Mr. Kirschenbaum has been the CEO of The Shoe Box, Inc. since 1984.</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Edward Jones, III </w:t>
      </w:r>
      <w:r>
        <w:rPr>
          <w:rFonts w:ascii="Arial" w:cs="Arial" w:eastAsia="Arial" w:hAnsi="Arial"/>
          <w:sz w:val="18"/>
          <w:szCs w:val="18"/>
          <w:color w:val="auto"/>
        </w:rPr>
        <w:t>has served as a member of our board of directors since October 2011. His career in the fashion industry has spanned over 35 years.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Jones began his career in retail in Dallas, Texas with Hartmarx. Mr. Jones then moved on to Neiman Marcus where he spent five years in various men’s merchandising and buying positions. In his career, Mr. Jones has held senior executive positions in major companies, including as CEO (Perry Ellis Men’s, Women’s &amp; International, Segrets Inc., GM Design Inc.), President (Calvin Klein, Esprit, Haggar Women’s), Director International Licensing (Perry Ellis, Calvin Klein), Creative Director (Haggar Women’s), and Chief Merchandising Officer (Haggar Men’s &amp; Women’s). For the past five years, he has been active as an advisor in the fashion apparel, accessory, and footwear markets in numerous brand and company strategies and M&amp;A assignments. During this period, he has participated in the review and analysis of over 60 companies or brands and has advised on brand and business model strategy in over half of these companies and brands.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Howard Liebman </w:t>
      </w:r>
      <w:r>
        <w:rPr>
          <w:rFonts w:ascii="Arial" w:cs="Arial" w:eastAsia="Arial" w:hAnsi="Arial"/>
          <w:sz w:val="16"/>
          <w:szCs w:val="16"/>
          <w:color w:val="auto"/>
        </w:rPr>
        <w:t>has served as a member of our board of directors since October 2011. He was President, Chief Operating Officer, and a director of Hobart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Benjamin Malka </w:t>
      </w:r>
      <w:r>
        <w:rPr>
          <w:rFonts w:ascii="Arial" w:cs="Arial" w:eastAsia="Arial" w:hAnsi="Arial"/>
          <w:sz w:val="18"/>
          <w:szCs w:val="18"/>
          <w:color w:val="auto"/>
        </w:rPr>
        <w:t>has served as a member of our board of directors since June 2014. Since August 2011, Mr. Malka has been the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Halston Operating Company, LLC, a designer, manufacturer, and distributor of apparel, leather goods, footwear, and accessories. From September 2001 through July 2011, Mr. Malka was President of BCBG Max Azria Group, Inc., a designer, manufacturer, and distributor of apparel, leather goods, footwear, and accessories.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Xcel and our board of directors. The following descriptions demonstrate the qualifications of each director: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Robert W. D’Loren </w:t>
      </w:r>
      <w:r>
        <w:rPr>
          <w:rFonts w:ascii="Arial" w:cs="Arial" w:eastAsia="Arial" w:hAnsi="Arial"/>
          <w:sz w:val="18"/>
          <w:szCs w:val="18"/>
          <w:color w:val="auto"/>
        </w:rPr>
        <w:t>has extensive experience in and knowledge of the licensing and commercial business industries and financial markets. This knowledge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considerable experience in building and running businesses and brings his strong business acumen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Michael R. Francis </w:t>
      </w:r>
      <w:r>
        <w:rPr>
          <w:rFonts w:ascii="Arial" w:cs="Arial" w:eastAsia="Arial" w:hAnsi="Arial"/>
          <w:sz w:val="16"/>
          <w:szCs w:val="16"/>
          <w:color w:val="auto"/>
        </w:rPr>
        <w:t>brings extensive senior level experience in the media and retail industries, as well as relationships in the media and retail industries.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Richard Kirschenbaum </w:t>
      </w:r>
      <w:r>
        <w:rPr>
          <w:rFonts w:ascii="Arial" w:cs="Arial" w:eastAsia="Arial" w:hAnsi="Arial"/>
          <w:sz w:val="16"/>
          <w:szCs w:val="16"/>
          <w:color w:val="auto"/>
        </w:rPr>
        <w:t>has extensive knowledge and experience in the footwear, retail and branded consumer sector, through his extensive career.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Kirschenbaum also brings relationships with various retailers and industry insiders in the consumer products sector.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Edward Jones, III </w:t>
      </w:r>
      <w:r>
        <w:rPr>
          <w:rFonts w:ascii="Arial" w:cs="Arial" w:eastAsia="Arial" w:hAnsi="Arial"/>
          <w:sz w:val="18"/>
          <w:szCs w:val="18"/>
          <w:color w:val="auto"/>
        </w:rPr>
        <w:t>brings over 35 years of experience in the fashion industry, as well as relationships in the fashion and apparel industries.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 reporting, and financial strategies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his extensive public accounting experience and prior service as Chief Financial Officer of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Benjamin Malka </w:t>
      </w:r>
      <w:r>
        <w:rPr>
          <w:rFonts w:ascii="Arial" w:cs="Arial" w:eastAsia="Arial" w:hAnsi="Arial"/>
          <w:sz w:val="16"/>
          <w:szCs w:val="16"/>
          <w:color w:val="auto"/>
        </w:rPr>
        <w:t>brings extensive senior level experience in the fashion and apparel industries, as well as relationships in the fashion and apparel industries.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Isaac Mizrahi </w:t>
      </w:r>
      <w:r>
        <w:rPr>
          <w:rFonts w:ascii="Arial" w:cs="Arial" w:eastAsia="Arial" w:hAnsi="Arial"/>
          <w:sz w:val="17"/>
          <w:szCs w:val="17"/>
          <w:color w:val="auto"/>
        </w:rPr>
        <w:t>is Chief Design Officer for IM Brands. As Chief Design Officer, he is responsible for design and design direction for all brands under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 Mr. Mizrahi has been a leader in the fashion industry for almost 30 years. Since 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Judith Ripka </w:t>
      </w:r>
      <w:r>
        <w:rPr>
          <w:rFonts w:ascii="Arial" w:cs="Arial" w:eastAsia="Arial" w:hAnsi="Arial"/>
          <w:sz w:val="18"/>
          <w:szCs w:val="18"/>
          <w:color w:val="auto"/>
        </w:rPr>
        <w:t>is Chief Design Officer of the Ripka brands for JR Licensing, overseeing design and design direction. Ms. Ripka started her acclaimed career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1977 and since its inception her global brand has become known for its impeccable quality and distinctive and refined designs. Both the 18k Gold collection and a Sterling Silver collection are in fine jewelry stores worldwide. Ms. Ripka was a pioneer in interactive television, debuting a collection on QVC in 1996 and more recently on The Shopping Channel in 2014. Among her many milestones, Ms. Ripka was chosen as one of “The Leading Women Entrepreneurs of the World” and received the DeBeer’s Award for Outstanding Jewelry Design.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D’Loren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 2014, and effective as of September 16, 2014, we entered into a three-year employment agreement with Robert D’Loren for him to serve as our Chief Executive Officer, referred to as the D’Loren Employment Agreement. Additionally, we will use our reasonable best efforts to cause Mr. D’Loren to be nominated to our board of directors and to serve as our Chairman of the board of directors during the term of the agreement. Following the initial three-year term, the agreement automatically renewed for a one-year term and will be automatically renewed for one year terms thereafter unless either party gives written notice of intent to terminate at least 90 days prior to the termination of the then current term. Under the D’Loren Employment Agreement, Mr. D’Loren’s base salary is $826,500 per annum. The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we pay (in addition to monthly lease or other payments) all of the related expenses for gasoline, insurance, maintenance, repairs or any other costs with Mr. D’Loren’s automobile.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D’Loren is eligible for an annual cash bonus of up to $1,500,000 for each calendar year, based on our achievement of annual EBITDA targets. The amount of the cash bonus will be a percentage of 5% of all income generated by the trademarks and other intellectual property owned by us, or IP Income, in excess of $8,000,000 earned and received by us, in accordance with the following schedule:</w:t>
      </w:r>
    </w:p>
    <w:p>
      <w:pPr>
        <w:spacing w:after="0" w:line="3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 Level of Target</w:t>
            </w:r>
          </w:p>
        </w:tc>
        <w:tc>
          <w:tcPr>
            <w:tcW w:w="2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Percentage of 5% of the</w:t>
            </w:r>
          </w:p>
        </w:tc>
      </w:tr>
      <w:tr>
        <w:trPr>
          <w:trHeight w:val="216"/>
        </w:trPr>
        <w:tc>
          <w:tcPr>
            <w:tcW w:w="5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EBITDA Achieved for each</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IP Income earned by the</w:t>
            </w:r>
          </w:p>
        </w:tc>
      </w:tr>
      <w:tr>
        <w:trPr>
          <w:trHeight w:val="216"/>
        </w:trPr>
        <w:tc>
          <w:tcPr>
            <w:tcW w:w="5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fiscal year ending December 31,</w:t>
            </w:r>
          </w:p>
        </w:tc>
        <w:tc>
          <w:tcPr>
            <w:tcW w:w="2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Company in excess of $8</w:t>
            </w:r>
          </w:p>
        </w:tc>
      </w:tr>
      <w:tr>
        <w:trPr>
          <w:trHeight w:val="234"/>
        </w:trPr>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2011 and thereafter</w:t>
            </w:r>
          </w:p>
        </w:tc>
        <w:tc>
          <w:tcPr>
            <w:tcW w:w="8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million</w:t>
            </w:r>
          </w:p>
        </w:tc>
        <w:tc>
          <w:tcPr>
            <w:tcW w:w="160" w:type="dxa"/>
            <w:vAlign w:val="bottom"/>
            <w:tcBorders>
              <w:bottom w:val="single" w:sz="8" w:color="CCEEFF"/>
            </w:tcBorders>
          </w:tcPr>
          <w:p>
            <w:pPr>
              <w:spacing w:after="0"/>
              <w:rPr>
                <w:sz w:val="20"/>
                <w:szCs w:val="20"/>
                <w:color w:val="auto"/>
              </w:rPr>
            </w:pPr>
          </w:p>
        </w:tc>
      </w:tr>
      <w:tr>
        <w:trPr>
          <w:trHeight w:val="210"/>
        </w:trPr>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0%-49%</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80" w:type="dxa"/>
            <w:vAlign w:val="bottom"/>
          </w:tcPr>
          <w:p>
            <w:pPr>
              <w:jc w:val="center"/>
              <w:spacing w:after="0"/>
              <w:rPr>
                <w:sz w:val="20"/>
                <w:szCs w:val="20"/>
                <w:color w:val="auto"/>
              </w:rPr>
            </w:pPr>
            <w:r>
              <w:rPr>
                <w:rFonts w:ascii="Arial" w:cs="Arial" w:eastAsia="Arial" w:hAnsi="Arial"/>
                <w:sz w:val="18"/>
                <w:szCs w:val="18"/>
                <w:color w:val="auto"/>
                <w:w w:val="92"/>
              </w:rPr>
              <w:t>50%-69%</w:t>
            </w:r>
          </w:p>
        </w:tc>
        <w:tc>
          <w:tcPr>
            <w:tcW w:w="8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70%-89%</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680" w:type="dxa"/>
            <w:vAlign w:val="bottom"/>
          </w:tcPr>
          <w:p>
            <w:pPr>
              <w:jc w:val="center"/>
              <w:spacing w:after="0"/>
              <w:rPr>
                <w:sz w:val="20"/>
                <w:szCs w:val="20"/>
                <w:color w:val="auto"/>
              </w:rPr>
            </w:pPr>
            <w:r>
              <w:rPr>
                <w:rFonts w:ascii="Arial" w:cs="Arial" w:eastAsia="Arial" w:hAnsi="Arial"/>
                <w:sz w:val="18"/>
                <w:szCs w:val="18"/>
                <w:color w:val="auto"/>
                <w:w w:val="90"/>
              </w:rPr>
              <w:t>90%-100%</w:t>
            </w:r>
          </w:p>
        </w:tc>
        <w:tc>
          <w:tcPr>
            <w:tcW w:w="80" w:type="dxa"/>
            <w:vAlign w:val="bottom"/>
          </w:tcPr>
          <w:p>
            <w:pPr>
              <w:spacing w:after="0"/>
              <w:rPr>
                <w:sz w:val="20"/>
                <w:szCs w:val="20"/>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Mr. D’Loren’s employment is terminated by us without cause, or if Mr. D’Loren resigns with good reason, or if we fail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D’Loren and us, all unvested stock options, shares of restricted stock and other equity awards granted by us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44"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 2014, and effective as of September 16, 2014, we entered into a two-year employment agreement with James Haran for him to serve as our Chief Financial Officer, referred to as the Haran Employment Agreement. Following the initial two-year term, the agreement automatically renewed for a one-year term and will be automatically renewed for one year terms thereafter unless either party gives written notice of intent to terminate at least 30 days prior to the expiration of the then current term. Under the Haran Employment Agreement, Mr. Haran’s base salary is $340,500 per annum. The board of directors or the compensation committee may approve increases (but not decreases) from time to time. Following the initial two year term, the base salary shall be reviewed at least annually. In addition, Mr. Haran receives a car allowance of $1,500 per month.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Haran is eligible for a cash bonus of up to $60,000 based upon the following: 75% of the $60,000 cash bonus will be paid to Mr. Haran if we achieve at least 70% of our budgeted EBITDA and 100% of the $60,000 cash bonus will be paid to Mr. Haran if we achieve at least 90% of our budgeted EBITDA.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Haran’s employment is terminated by us without cause, or if Mr. Haran resigns with good reason, or if we fail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Seth Burroughs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 2014, and effective as of September 16, 2014, we entered into a two-year employment agreement with Seth Burroughs for him to serve as our Executive Vice President – Business Development and Treasury, referred to as the Burroughs Employment Agreement. Following the initial two-year term, the agreement automatically renewed for a one-year term and will be automatically renewed for one year terms thereafter unless either party gives written notice of intent to terminate at least 30 days prior to the expiration of the then current term. Under the Burroughs Employment Agreement, Mr. Burroughs’ base salary is $316,800 per annum. The board of directors or the compensation committee may approve increases (but not decreases) from time to time. Following the initial two-year term, the base salary shall be reviewed at least annually.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Burroughs is eligible for a cash bonus of up to $60,000 based upon the following: 50% of the $60,000 cash bonus shall be paid to Mr. Burroughs if we achieve at least 70% of our budgeted EBITDA and 100% of the $60,000 cash bonus shall be paid to Mr. Burroughs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Burroughs’ employment is terminated by us without cause, or if Mr. Burroughs resigns with good reason, or if we fail to renew the term, then Mr. Burroughs will be entitled to receive his unpaid base salary and cash bonuses through the termination date and an amount equal to his base salary in effect on the termination date for a period of 12 months. Mr. Burroughs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Giuseppe Falco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24, 2017, and effective as of January 1, 2017, we entered into a three-year employment agreement with Giuseppe Falco for him to serve as our Chief Merchant of the Company and Brand President, referred to as the Falco Employment Agreement. Following the initial three-year term, the agreement will be automatically renewed for an additional two-year period, unless either party gives written notice of intent to terminate at least 30 days prior to the expiration of the then current term. Under the Falco Employment Agreement, Mr. Falco’s base salary is $550,000, $625,000, and $700,000 per annum for the years ending December 31, 2017, and 2018, and 2019,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Falco Employment Agreement, Mr. Falco was awarded an option to purchase 500,000 shares of our common stock at an exercise price of $5.00 per share. The option vests as to 100,000 shares on each of January 1, 2018, 2019, 2020, 2021 and 2022, provided that Mr. Falco remains an employee of the Company or is otherwise providing services to the Company on such date, and expires as to each 100,000 shares on the five year anniversary of the respective vesting date.</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Falco is eligible for a cash bonus of up to $450,000, $375,000, and $300,000 for the fiscal years ending December 31, 2017, 2018, and 2019, respectively. The cash bonus for each respective fiscal year shall be payable at 50% of the maximum if we achieve at least 70% of our budgeted EBITDA for such fiscal year, and at 100% of the maximum if we achieve at least 90% of our budgeted EBITDA for such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6 months, payable on the 6 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6 months from the termination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6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determined that Messrs. Howard Liebman, Michael R. Francis, Mark DiSanto, and Richard Kischenbaum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each of Robert D’Loren, James Haran, Seth Burroughs, and Howard Liebman did not timely file a Form 4 for one transaction during the fiscal year ended December 31, 2016.</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September 29, 2011, we adopted a code of ethics that applies to our officers, employees, and directors, including our Chief Executive Officer, Chief Financial Officer and senior executives. Our Code of Ethics can be accessed on our website, </w:t>
      </w:r>
      <w:r>
        <w:rPr>
          <w:rFonts w:ascii="Arial" w:cs="Arial" w:eastAsia="Arial" w:hAnsi="Arial"/>
          <w:sz w:val="18"/>
          <w:szCs w:val="18"/>
          <w:u w:val="single" w:color="auto"/>
          <w:color w:val="auto"/>
        </w:rPr>
        <w:t>www.xcelbrands.com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Francis, and DiSanto.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has appointed a Compensation Committee consisting of Messrs. DiSanto and Kirschenbaum.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all cash and non-cash compensation earned, during the years ended December 31, 2016 and 2015, by our principal executive officer and our three other most highly compensated executive officers, which we refer to collectively as the named executive officers, for services in all capacities to the Company:</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Title</w:t>
            </w: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Bonus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rPr>
              <w:t>(2)(4)(6)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(3)(5)</w:t>
            </w:r>
          </w:p>
        </w:tc>
        <w:tc>
          <w:tcPr>
            <w:tcW w:w="22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Compensation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Robert D’Loren</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CEO and</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ind w:left="380"/>
              <w:spacing w:after="0" w:line="123"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832,733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939,583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641,062</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1,317,898</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7,954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3,739,230</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Chairman</w:t>
            </w:r>
          </w:p>
        </w:tc>
        <w:tc>
          <w:tcPr>
            <w:tcW w:w="1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836,160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637,672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2,205,000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3,687,577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James Haran</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CFO</w:t>
            </w:r>
          </w:p>
        </w:tc>
        <w:tc>
          <w:tcPr>
            <w:tcW w:w="104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340,500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137,367</w:t>
            </w: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282,395</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6,238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826,500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340,500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472,500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906,467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Giuseppe Falco</w:t>
            </w: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President and</w:t>
            </w:r>
          </w:p>
        </w:tc>
        <w:tc>
          <w:tcPr>
            <w:tcW w:w="104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415,600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298,093</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788,693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COO</w:t>
            </w:r>
          </w:p>
        </w:tc>
        <w:tc>
          <w:tcPr>
            <w:tcW w:w="1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415,600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450,000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Bonuses were paid in accordance with the executives’ respective employment agreements. See “Employment Agreements with Executives” in Item 10.</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restricted stock awards granted during the applicable fiscal year calculated in accordance with ASC Topic 718.</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stock option awards granted during the applicable fiscal year calculated in accordance with ASC Topic 718.</w:t>
      </w:r>
    </w:p>
    <w:p>
      <w:pPr>
        <w:spacing w:after="0" w:line="170"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March 31, 2016, Messrs. D’Loren and Haran were awarded 110,528 and 23,684 shares of restricted stock, respectively. The shares of restricted stock vest evenly over three years, whereby one-third shall vest on each of March 31, 2017, March 31, 2018, and March 31, 2019; provided, however, that each such grantee has the right to extend the vesting date by six-month increments, in his sole discretion, prior to the date the restrictions would lapse. As of December 31, 2016, none of these shares have vested. The grant date fair value of the shares was $5.80 per share.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March 31, 2016, Messrs. D’Loren, Haran, and Falco were granted options to purchase 884,220, 189,468, and 200,000 shares of common stock, respectively. The exercise price of the options is $5.80 per share, and one-third of the options will vest on each of March 31, 2017, March 31, 2018, and March 31, 2019.</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19, 2015, Messrs. D’Loren, Haran, and Falco were awarded 245,000, 52,500, and 50,000 shares of restricted stock, respectively. These shares of restricted stock vest as to 50% of the shares on each of May 31, 2016 and May 31, 2017; provided, however, that each such grantee has the right to extend the vesting date by six-month increments, in his sole discretion, prior to the date the restrictions would lapse. As of December 31, 2015, none of these shares have vested. The grant date fair value of the shares was $9.00 per share.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as of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Options and Warrant Awards</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Option or</w:t>
            </w: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Shares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Options &amp;</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Options &amp;</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Warrant</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Warrants,</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Warrants,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Unexercisable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Vested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2"/>
        </w:trPr>
        <w:tc>
          <w:tcPr>
            <w:tcW w:w="2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Robert D’Loren</w:t>
            </w: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CEO, Chairman</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239,250</w:t>
            </w:r>
          </w:p>
        </w:tc>
        <w:tc>
          <w:tcPr>
            <w:tcW w:w="240" w:type="dxa"/>
            <w:vAlign w:val="bottom"/>
            <w:tcBorders>
              <w:top w:val="single" w:sz="8" w:color="CCEEFF"/>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1"/>
              </w:rPr>
              <w:t>(1)</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9/29/2021</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884,220</w:t>
            </w:r>
            <w:r>
              <w:rPr>
                <w:rFonts w:ascii="Arial" w:cs="Arial" w:eastAsia="Arial" w:hAnsi="Arial"/>
                <w:sz w:val="18"/>
                <w:szCs w:val="18"/>
                <w:color w:val="auto"/>
                <w:vertAlign w:val="superscript"/>
              </w:rPr>
              <w:t>(3)</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3/31/2021</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1,263,706</w:t>
            </w:r>
            <w:r>
              <w:rPr>
                <w:rFonts w:ascii="Arial" w:cs="Arial" w:eastAsia="Arial" w:hAnsi="Arial"/>
                <w:sz w:val="23"/>
                <w:szCs w:val="23"/>
                <w:color w:val="auto"/>
                <w:vertAlign w:val="superscript"/>
              </w:rPr>
              <w:t>(4)</w:t>
            </w: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5,560,306</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line="153" w:lineRule="exact"/>
              <w:rPr>
                <w:sz w:val="20"/>
                <w:szCs w:val="20"/>
                <w:color w:val="auto"/>
              </w:rPr>
            </w:pPr>
            <w:r>
              <w:rPr>
                <w:rFonts w:ascii="Arial" w:cs="Arial" w:eastAsia="Arial" w:hAnsi="Arial"/>
                <w:sz w:val="14"/>
                <w:szCs w:val="14"/>
                <w:color w:val="auto"/>
              </w:rPr>
              <w:t>James Haran</w:t>
            </w:r>
          </w:p>
        </w:tc>
        <w:tc>
          <w:tcPr>
            <w:tcW w:w="120" w:type="dxa"/>
            <w:vAlign w:val="bottom"/>
          </w:tcPr>
          <w:p>
            <w:pPr>
              <w:spacing w:after="0"/>
              <w:rPr>
                <w:sz w:val="13"/>
                <w:szCs w:val="13"/>
                <w:color w:val="auto"/>
              </w:rPr>
            </w:pPr>
          </w:p>
        </w:tc>
        <w:tc>
          <w:tcPr>
            <w:tcW w:w="1160" w:type="dxa"/>
            <w:vAlign w:val="bottom"/>
          </w:tcPr>
          <w:p>
            <w:pPr>
              <w:spacing w:after="0" w:line="153" w:lineRule="exact"/>
              <w:rPr>
                <w:sz w:val="20"/>
                <w:szCs w:val="20"/>
                <w:color w:val="auto"/>
              </w:rPr>
            </w:pPr>
            <w:r>
              <w:rPr>
                <w:rFonts w:ascii="Arial" w:cs="Arial" w:eastAsia="Arial" w:hAnsi="Arial"/>
                <w:sz w:val="14"/>
                <w:szCs w:val="14"/>
                <w:color w:val="auto"/>
              </w:rPr>
              <w:t>CFO</w:t>
            </w:r>
          </w:p>
        </w:tc>
        <w:tc>
          <w:tcPr>
            <w:tcW w:w="1360" w:type="dxa"/>
            <w:vAlign w:val="bottom"/>
            <w:gridSpan w:val="3"/>
          </w:tcPr>
          <w:p>
            <w:pPr>
              <w:jc w:val="right"/>
              <w:ind w:right="40"/>
              <w:spacing w:after="0" w:line="154" w:lineRule="exact"/>
              <w:rPr>
                <w:sz w:val="20"/>
                <w:szCs w:val="20"/>
                <w:color w:val="auto"/>
              </w:rPr>
            </w:pPr>
            <w:r>
              <w:rPr>
                <w:rFonts w:ascii="Arial" w:cs="Arial" w:eastAsia="Arial" w:hAnsi="Arial"/>
                <w:sz w:val="11"/>
                <w:szCs w:val="11"/>
                <w:color w:val="auto"/>
              </w:rPr>
              <w:t>49,500</w:t>
            </w:r>
            <w:r>
              <w:rPr>
                <w:rFonts w:ascii="Arial" w:cs="Arial" w:eastAsia="Arial" w:hAnsi="Arial"/>
                <w:sz w:val="17"/>
                <w:szCs w:val="17"/>
                <w:color w:val="auto"/>
                <w:vertAlign w:val="superscript"/>
              </w:rPr>
              <w:t>(1)</w:t>
            </w:r>
          </w:p>
        </w:tc>
        <w:tc>
          <w:tcPr>
            <w:tcW w:w="122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
              <w:spacing w:after="0" w:line="153"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5.00</w:t>
            </w:r>
          </w:p>
        </w:tc>
        <w:tc>
          <w:tcPr>
            <w:tcW w:w="1140" w:type="dxa"/>
            <w:vAlign w:val="bottom"/>
          </w:tcPr>
          <w:p>
            <w:pPr>
              <w:jc w:val="center"/>
              <w:spacing w:after="0" w:line="153" w:lineRule="exact"/>
              <w:rPr>
                <w:sz w:val="20"/>
                <w:szCs w:val="20"/>
                <w:color w:val="auto"/>
              </w:rPr>
            </w:pPr>
            <w:r>
              <w:rPr>
                <w:rFonts w:ascii="Arial" w:cs="Arial" w:eastAsia="Arial" w:hAnsi="Arial"/>
                <w:sz w:val="14"/>
                <w:szCs w:val="14"/>
                <w:color w:val="auto"/>
                <w:w w:val="93"/>
              </w:rPr>
              <w:t>9/29/2021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189,468</w:t>
            </w:r>
            <w:r>
              <w:rPr>
                <w:rFonts w:ascii="Arial" w:cs="Arial" w:eastAsia="Arial" w:hAnsi="Arial"/>
                <w:sz w:val="23"/>
                <w:szCs w:val="23"/>
                <w:color w:val="auto"/>
                <w:vertAlign w:val="superscript"/>
              </w:rPr>
              <w:t>(3)</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5.80</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3/31/2021</w:t>
            </w:r>
          </w:p>
        </w:tc>
        <w:tc>
          <w:tcPr>
            <w:tcW w:w="100" w:type="dxa"/>
            <w:vAlign w:val="bottom"/>
          </w:tcPr>
          <w:p>
            <w:pPr>
              <w:spacing w:after="0"/>
              <w:rPr>
                <w:sz w:val="24"/>
                <w:szCs w:val="24"/>
                <w:color w:val="auto"/>
              </w:rPr>
            </w:pPr>
          </w:p>
        </w:tc>
        <w:tc>
          <w:tcPr>
            <w:tcW w:w="12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252,526</w:t>
            </w:r>
            <w:r>
              <w:rPr>
                <w:rFonts w:ascii="Arial" w:cs="Arial" w:eastAsia="Arial" w:hAnsi="Arial"/>
                <w:sz w:val="23"/>
                <w:szCs w:val="23"/>
                <w:color w:val="auto"/>
                <w:vertAlign w:val="superscript"/>
              </w:rPr>
              <w:t>(5)</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1,111,114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Giuseppe Falco</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President, COO</w:t>
            </w:r>
          </w:p>
        </w:tc>
        <w:tc>
          <w:tcPr>
            <w:tcW w:w="136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2"/>
                <w:szCs w:val="12"/>
                <w:color w:val="auto"/>
              </w:rPr>
              <w:t>100,000</w:t>
            </w:r>
            <w:r>
              <w:rPr>
                <w:rFonts w:ascii="Arial" w:cs="Arial" w:eastAsia="Arial" w:hAnsi="Arial"/>
                <w:sz w:val="18"/>
                <w:szCs w:val="18"/>
                <w:color w:val="auto"/>
                <w:vertAlign w:val="superscript"/>
              </w:rPr>
              <w:t>(1)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9/29/2021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2"/>
                <w:szCs w:val="12"/>
                <w:color w:val="auto"/>
              </w:rPr>
              <w:t>50,000</w:t>
            </w:r>
            <w:r>
              <w:rPr>
                <w:rFonts w:ascii="Arial" w:cs="Arial" w:eastAsia="Arial" w:hAnsi="Arial"/>
                <w:sz w:val="18"/>
                <w:szCs w:val="18"/>
                <w:color w:val="auto"/>
                <w:vertAlign w:val="superscript"/>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200,000</w:t>
            </w:r>
            <w:r>
              <w:rPr>
                <w:rFonts w:ascii="Arial" w:cs="Arial" w:eastAsia="Arial" w:hAnsi="Arial"/>
                <w:sz w:val="18"/>
                <w:szCs w:val="18"/>
                <w:color w:val="auto"/>
                <w:vertAlign w:val="superscript"/>
              </w:rPr>
              <w:t>(3)</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3/31/2021</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195,333</w:t>
            </w:r>
            <w:r>
              <w:rPr>
                <w:rFonts w:ascii="Arial" w:cs="Arial" w:eastAsia="Arial" w:hAnsi="Arial"/>
                <w:sz w:val="23"/>
                <w:szCs w:val="23"/>
                <w:color w:val="auto"/>
                <w:vertAlign w:val="superscript"/>
              </w:rPr>
              <w:t>(6)</w:t>
            </w: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859,465</w:t>
            </w: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became exercisable on September 29, 2011, the date of grant, and expire on September 29, 2021.</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Of these 50,000 options, 25,000 became exercisable on May 31, 2015 and 25,000 became exercisable on May 31, 2016. These options expire on May 31,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These options become exercisable as to one-third of the shares on each of March 31, 2017, 2018, and 2019, and expire on March 31, 2021.</w:t>
      </w:r>
    </w:p>
    <w:p>
      <w:pPr>
        <w:spacing w:after="0" w:line="236"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shares vest (i) as to 350,000 shares of common stock, on March 31, 2017; (ii) as to 168,793 shares of common stock, on May 15, 2017; (iii) as to 350,000 shares of common stock, on May 31, 2017; (iv) as to 39,385 shares of common stock, on June 1, 2017; (v) as to 245,000 shares of common stock, on April 30, 2017; and (viii) as to 110,528 shares of common stock, 36,842 shares on March 31, 2017, 36,843 shares on March 31, 2018, and 36,843 shares on March 31, 2019; provided, however, that Mr. D’Loren has the right to extend each vesting date by six-month increments, in his sole discretion, prior to the date the restrictions would lapse.</w:t>
      </w:r>
    </w:p>
    <w:p>
      <w:pPr>
        <w:spacing w:after="0" w:line="188"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shares vest (i) as to 75,000 shares of common stock, on March 31, 2017; (ii) as to 36,342 shares of common stock, on May 15, 2017; (iii) as to 65,000 shares of common stock, on May 31, 2017; (iv) as to 52,500 shares of common stock, on April 30, 2017; and (v) as to 23,684 shares of common stock, 7,894 shares on March 31, 2017, 7,895 shares on March 31, 2018, and 7,895 shares on March 31, 2019; provided, however, that Mr. Haran has the right to extend each vesting date by six-month increments, in his sole discretion, prior to the date the restrictions would lapse.</w:t>
      </w:r>
    </w:p>
    <w:p>
      <w:pPr>
        <w:spacing w:after="0" w:line="171"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shares vest (i) as to 77,500 shares of common stock, on March 31, 2017; (ii) as to 37,500 shares of common stock, on May 15, 2017; and (iii) as to 30,333 shares of common stock, on June 1, 2016; and (iv) as to 50,000 shares of common stock, on April 30, 2017; provided, however, that Mr. Falco has the right to extend each vesting date by six-month increments, in his sole discretion, prior to the date the restrictions would lapse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with respect to each non-employee director's compensation for the year ended December 31, 2016. The dollar amounts shown for Stock Awards represent the grant date fair value of the restricted stock awards or stock options granted during the fiscal year calculated in accordance with ASC Topic 718.</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7"/>
              </w:rPr>
              <w:t>Fees Earned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or Paid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320" w:type="dxa"/>
            <w:vAlign w:val="bottom"/>
            <w:gridSpan w:val="2"/>
          </w:tcPr>
          <w:p>
            <w:pPr>
              <w:ind w:left="188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in Cash</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DiSanto (1) (2) (5)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Michael R. Francis (1) (2)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35,851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106,251</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Slater (1) (2) (3)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35,851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91,251</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Richard Kirschenbaum (4)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41,200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33,481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80,681</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Jones, III (1) (2) (5)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99,293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163,693</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Howard Liebman (1) (2) (5)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99,293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173,693</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Malka (1) (2)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35,851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94,251</w:t>
            </w: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31, 2016, each non-employee director was granted 8,000 shares of restricted stock pursuant to the terms and conditions of the Plan. Such shares of restricted stock will vest evenly over two years, whereby 50% shall vest on March 31, 2017 and 50% shall vest on March 31, 2018. Notwithstanding the foregoing, each grantee may extend the vesting date of all or a portion of the restricted shares by six months and, thereafter one or more times may further extend such date with respect to all or a portion of the restricted shares until the next following September 30 or March 31, as the case may be. The grant date fair value of the shares was $5.80 per share.</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31, 2016, each non-employee director was granted options to purchase 25,000 shares of stock pursuant to the terms and conditions of the Plan. Such options will vest evenly over two years, whereby 50% shall vest on March 31, 2017 and 50% shall vest on March 31, 2018. The exercise price of the options is $5.80 per share.</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August 9, 2016, Todd Slater resigned as a director of the Company.</w:t>
      </w:r>
    </w:p>
    <w:p>
      <w:pPr>
        <w:spacing w:after="0" w:line="225"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August 11, 2016, Richard Kirschenbaum was appointed as a non-employee director. On August 11, 2016, Mr. Kirschenbaum was granted 8,000 shares of restricted stock pursuant to the terms and conditions of the Plan. Such shares of restricted stock will vest evenly over two years, whereby 50% shall vest on August 31, 2017 and 50% shall vest on August 31, 2018. Notwithstanding the foregoing, Mr. Kirschenbaum may extend the vesting date of all or a portion of the restricted shares by six months and, thereafter one or more times may further extend such date with respect to all or a portion of the restricted shares until the next following November 30 or May 31, as the case may be. The grant date fair value of the shares was $5.15 per share. In addition, on August 11, 2016, Mr. Kirschenbaum was granted options to purchase 25,000 shares of stock pursuant to the terms and conditions of the Plan. Such options will vest evenly over two years, whereby 50% shall vest on August 31, 2017 and 50% shall vest on August 31, 2018. The exercise price of the options is $5.15 per share.</w:t>
      </w:r>
    </w:p>
    <w:p>
      <w:pPr>
        <w:spacing w:after="0" w:line="19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October 31, 2016, each independent director was granted options to purchase 50,000 shares of stock pursuant to the terms and conditions of the Plan. Such options will vest evenly over two years, whereby 50% shall vest on October 31, 2017 and 50% shall vest on October 31, 2018. The exercise price of the options is $5.00 per share.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lists, as of March 10, 2017,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below are calculated based on 18,694,982 shares of common stock issued and outstanding as of March 10,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Common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gridSpan w:val="2"/>
          </w:tcPr>
          <w:p>
            <w:pPr>
              <w:ind w:left="580"/>
              <w:spacing w:after="0"/>
              <w:rPr>
                <w:sz w:val="20"/>
                <w:szCs w:val="20"/>
                <w:color w:val="auto"/>
              </w:rPr>
            </w:pPr>
            <w:r>
              <w:rPr>
                <w:rFonts w:ascii="Arial" w:cs="Arial" w:eastAsia="Arial" w:hAnsi="Arial"/>
                <w:sz w:val="18"/>
                <w:szCs w:val="18"/>
                <w:b w:val="1"/>
                <w:bCs w:val="1"/>
                <w:color w:val="auto"/>
              </w:rPr>
              <w:t>Name and Address</w:t>
            </w:r>
          </w:p>
        </w:tc>
        <w:tc>
          <w:tcPr>
            <w:tcW w:w="1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Robert D’Loren (1)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9,025,570</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James Haran (2)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616,285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Seth Burroughs (3)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489,825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Richard Kirschenbaum (4)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Howard Liebman (5)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57,615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Edward Jones, III (6)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121,882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Benjamin Malka (7)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155,500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Mark DiSanto (8)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1,443,484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Michael R. Francis (9)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95,500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Guiseppe Falco (10)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470,578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All directors and executive officers as a group </w:t>
            </w:r>
            <w:r>
              <w:rPr>
                <w:rFonts w:ascii="Arial" w:cs="Arial" w:eastAsia="Arial" w:hAnsi="Arial"/>
                <w:sz w:val="18"/>
                <w:szCs w:val="18"/>
                <w:color w:val="auto"/>
              </w:rPr>
              <w:t>(10 persons)(11)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12,282,714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Isaac Mizrahi (12)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2,519,514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Buckingham Capital Management, Inc. (13)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1,830,947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485 Lexington Avenue, 3rd Floor, New York, NY 10017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7580" w:type="dxa"/>
            <w:vAlign w:val="bottom"/>
          </w:tcPr>
          <w:p>
            <w:pPr>
              <w:spacing w:after="0" w:line="201" w:lineRule="exact"/>
              <w:rPr>
                <w:sz w:val="20"/>
                <w:szCs w:val="20"/>
                <w:color w:val="auto"/>
              </w:rPr>
            </w:pPr>
            <w:r>
              <w:rPr>
                <w:rFonts w:ascii="Arial" w:cs="Arial" w:eastAsia="Arial" w:hAnsi="Arial"/>
                <w:sz w:val="18"/>
                <w:szCs w:val="18"/>
                <w:color w:val="auto"/>
              </w:rPr>
              <w:t>Hilco Trading, LLC (14)</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2,316,667</w:t>
            </w:r>
          </w:p>
        </w:tc>
        <w:tc>
          <w:tcPr>
            <w:tcW w:w="18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11.98</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5 Revere Drive, Suite 206, Northbrook, IL 60062</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Burch Acquisition LLC (15)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840 First Avenue, Suite 200, King of Prussia, PA 19406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auto"/>
            </w:tcBorders>
          </w:tcPr>
          <w:p>
            <w:pPr>
              <w:spacing w:after="0"/>
              <w:rPr>
                <w:sz w:val="18"/>
                <w:szCs w:val="18"/>
                <w:color w:val="auto"/>
              </w:rPr>
            </w:pPr>
          </w:p>
        </w:tc>
        <w:tc>
          <w:tcPr>
            <w:tcW w:w="7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360" w:hanging="352"/>
        <w:spacing w:after="0" w:line="269" w:lineRule="auto"/>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Consists of (i) 489,665 shares held by Mr. D’Loren, (ii) 526,283 shares owned by Irrevocable Trust of Rose Dempsey (or the Irrevocable Trust) of which Mr. D’Loren and Mr. DiSanto are the trustees and as to which Mr. D’Loren has sole voting and dispositive power, (iii) 533,990 shares issuable upon exercise of immediately exercisable options and warrants, (iv) 1,263,706 restricted shares, (v) 2,502,272 shares of common stock (including 783,750 restricted shares) held in the name of Isaac Mizrahi, (vi) 251,700 shares of common stock (including 113,750 restricted shares) held in the name of Marisa Gardini, (vii) 136,525 other shares of restricted stock and 2,571,429 other shares of common stock as to which holders thereof granted to Mr. D’Loren irrevocable proxy and attorney-in-fact with respect to the shares, and (viii) 750,000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326,671 shares and 7,675 shares issuable upon exercise of warrants held by the D’Loren Family Trust (or the Family Trust) of which Mark DiSanto is a trustee and has sole voting and dispositive power.</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(i) 251,103 shares, (ii) 252,526 restricted shares, and (iii) immediately exercisable options and warrants to purchase 112,656 shares.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(i) 230,356 shares, (ii) 167,365 restricted shares, and (iii) immediately exercisable options and warrants to purchase 92,104 shares.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8,000 restricted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(i) 32,115 shares, (ii) 13,000 restricted shares, and (iii) immediately exercisable options to purchase 12,500 shares.</w:t>
      </w:r>
    </w:p>
    <w:p>
      <w:pPr>
        <w:spacing w:after="0" w:line="225"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(i) 31,382 shares, (ii) 28,000 restricted shares, and (iii) immediately exercisable options to purchase 12,500 shares. Also includes (i) 25,000 shares and (ii) 25,000 restricted shares directly owned by Jones Texas, Inc., of which Mr. Jones is the controlling shareholder.</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(i) 30,000 shares, (ii) 13,000 restricted shares, and (iii) immediately exercisable options and warrants to purchase 112,500 shares.</w:t>
      </w:r>
    </w:p>
    <w:p>
      <w:pPr>
        <w:spacing w:after="0" w:line="236" w:lineRule="exact"/>
        <w:rPr>
          <w:rFonts w:ascii="Arial" w:cs="Arial" w:eastAsia="Arial" w:hAnsi="Arial"/>
          <w:sz w:val="17"/>
          <w:szCs w:val="17"/>
          <w:color w:val="auto"/>
        </w:rPr>
      </w:pPr>
    </w:p>
    <w:p>
      <w:pPr>
        <w:jc w:val="both"/>
        <w:ind w:left="340" w:hanging="332"/>
        <w:spacing w:after="0" w:line="29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(i) 326,671 shares and 7,675 shares issuable upon exercise of warrants that have vested held by the D’Loren Family Trust, of which Mark DiSanto is trustee and has sole voting and dispositive power over the shares held by the D’Loren Family Trust, (ii) 58,537 shares held by Mr. DiSanto, (iii) 856,548 shares held by Mark X. DiSanto Investment Trust, of which Mark DiSanto is trustee and has sole voting and dispositive power over the shares held by the Trust, (iv) 13,000 restricted shares, (v) 121,053 shares issuable upon exercise of warrants and options that have vested, and (vi) 60,000 shares held by other trusts, of which Mark DiSanto is trustee and has sole voting and dispositive power over the shares held by the trusts.</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83,000 restricted shares and (ii) immediately exercisable options to purchase 12,500 shares.</w:t>
      </w:r>
    </w:p>
    <w:p>
      <w:pPr>
        <w:spacing w:after="0" w:line="22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(i) 58,579 shares, (ii) 195,333 restricted shares, and (iii) 216,666 shares issuable upon exercise of immediately exercisable warrants and options. Giuseppe Falco, the President and Chief Operating Officer of the Mizrahi brands, is an executive officer but not a named executive officer.</w:t>
      </w:r>
    </w:p>
    <w:p>
      <w:pPr>
        <w:spacing w:after="0" w:line="146" w:lineRule="exact"/>
        <w:rPr>
          <w:rFonts w:ascii="Arial" w:cs="Arial" w:eastAsia="Arial" w:hAnsi="Arial"/>
          <w:sz w:val="17"/>
          <w:szCs w:val="17"/>
          <w:color w:val="auto"/>
        </w:rPr>
      </w:pPr>
    </w:p>
    <w:p>
      <w:pPr>
        <w:jc w:val="both"/>
        <w:ind w:left="340" w:hanging="332"/>
        <w:spacing w:after="0" w:line="30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 2,976,239 shares, (ii) 2,061,930 restricted shares, (iii) 438,750 shares issuable upon exercise of warrants that are currently exercisable, (iv) 695,394 shares issuable upon exercise of options that are currently exercisable, (v) 5,360,401 other shares of common stock as to which holders thereof granted to Mr. D’Loren irrevocable proxy and attorney-in-fact with respect to the shares, and (vi) 750,000 shares issuable upon exercise of immediately exercisable warrants to which holders thereof granted to Mr. D’Loren irrevocable proxy and attorney-in-fact with respect to the shares.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(i) 1,735,764 shares and (ii) 783,750 restricted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solely on a Schedule 13G/A filed on Feburary 13, 2017 by Buckingham Capital Management, Inc.</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H Company IP, LLC, or HIP, directly owns 1,000,000 shares of the Company’s common stock, which we refer to as the H Company Shares. House of Halston, LLC, or Halston, is the parent company of HIP and may be deemed to share beneficial ownership of the H Company Shares by virtue of its ability to direct the business and investment decisions of HIP. The H Investment Company, LLC, or H Investment, in its capacity as the controlling member of Halston, has the ability to direct the investment decisions of Halston, including the power to direct the decisions of Halston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1,316,667 shares of our common stock, which we refer to as the Hilco Shares, of which 666,667 shares are outstanding and 650,000 shares are issuable upon exercise of a warrant that is currently exercisable. By virtue of the relationship described above and its direct ownership of the Hilco Shares, Hilco Trading beneficially owns 2,316,667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2,316,667 shares of our common stock.</w:t>
      </w:r>
    </w:p>
    <w:p>
      <w:pPr>
        <w:spacing w:after="0" w:line="183"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1,000,000 shares of common stock.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9" w:name="page80"/>
    <w:bookmarkEnd w:id="79"/>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14, 2015, and amended on June 24, 2015, the Company entered into a consulting agreement with Jones Texas, Inc., ("JTI") whose controlling shareholder is Edward Jones, a director of the Company. The agreement, as amended, provided for fees payable to JTI up to $75,000 for consulting services related to due diligence on the C Wonder brand prior to acquisition. The Company paid fees to JTI of $75,000 during the Prior Year.</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Current Year, Edward Jones performed consulting services for and received compensation from a certain licensee of the Company (the “Licensee”). Under the terms of the Company’s agreement with the Licensee, the Licensee may supply the Company’s branded products to the Company’s other licensees. Under the terms of the Company’s separate pre-existing agreements with other licensees, the Company would earn royalties on the sales of such branded products sold to end customers. To date, the Company has not earned or received any fees or revenues related to the Company’s agreement with the Licensee, but may earn or receive such amounts in the future.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31, 2017, the Company entered into a two-year consulting agreement with JTI, pursuant to which JTI shall cause Mr. Jones to provide consulting services in connection with the Company’s quick-time-response fashion program, assisting the Company with sourcing suppliers for its women’s apparel, and establishing and managing a men’s quick-time-response platform. Pursuant to this agreement, the Company shall (i) issue to JTI an aggregate of 78,334 shares of its common stock, vesting as to 39,167 shares on the date of the agreement and 39,167 of the shares on January 30, 2018 and (ii) pay to JTI an aggregate cash consulting fee of $300,000 payable $75,000 on each of January 31, April 30, July 31 and October 31, 2017; provided however, that (i) up to 25,000 shares of common stock shall be subject to forfeiture if the Company’s business with suppliers of women’s apparel is materially diminished and (ii) up to $150,000 of the cash consulting fee is subject to forfeiture in the event a contemplated project for which JTI will be performing services is not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the acquisition of the H Halston Brand on December 22, 2014, the Company entered into a license agreement with The H Company IP, LLC (“HIP”),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we entered into a license agreement with Lord and Taylor, LLC (the “L&amp;T License”) and simultaneously amended the H Halston License Agreement eliminating HIP’s minimum guaranteed royalty obligations, provided the L&amp;T License is in effect. In addition, we entered into a sublicense agreement with HIP obligating us to pay HIP on an annual basis the greater of (i) 50% of royalties received under the L&amp;T License from H Halston products or (ii) guaranteed minimum royalties. Provided that Lord &amp; Taylor is paying the Company at least $1,000,000 per quarter under the L&amp;T License, the remaining contractually guaranteed minimum royalties are equal to $0.75 million, $0.75 million, $1.5 million and $1.75 million for the twelve months ending January 31, 2018, 2019, 2020, and 2021, respectively. Royalties paid to HIP by the Company or on the Company’s behalf for the seventeen months ended January 31, 2017 were $0.19 million.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Marisa Gardini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terms and conditions of the C Wonder Purchase Agreement, the Company paid Marisa Gardini, a former director of the Company, a $240,000 commission fee for the acquisition of the C Wonder Brand in the Prior Year. The amount of the payment was considered a direct acquisition cost of the C Wonder Brand and accordingly has been included as a component of the purchase price.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2016 and 2015 were $270,000 and $263,000,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$10,000 of fees billed for audit-related services by our Independent Registered Public Accounting Firm for the fiscal year ended December 31, 2015. There were no such fees billed for fiscal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fees billed for services by our Independent Registered Public Accounting Firm for non-audit services for the fiscal years ended December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wp:posOffset>
            </wp:positionV>
            <wp:extent cx="643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4.1</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4.2</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4.4</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4.5</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4.6</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4.7</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4.9</w:t>
      </w:r>
    </w:p>
    <w:p>
      <w:pPr>
        <w:spacing w:after="0" w:line="23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4.10</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9.1</w:t>
      </w:r>
    </w:p>
    <w:p>
      <w:pPr>
        <w:spacing w:after="0" w:line="200" w:lineRule="exact"/>
        <w:rPr>
          <w:sz w:val="20"/>
          <w:szCs w:val="20"/>
          <w:color w:val="auto"/>
        </w:rPr>
      </w:pP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9.2</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9.3</w:t>
      </w:r>
    </w:p>
    <w:p>
      <w:pPr>
        <w:spacing w:after="0" w:line="239" w:lineRule="exact"/>
        <w:rPr>
          <w:sz w:val="20"/>
          <w:szCs w:val="20"/>
          <w:color w:val="auto"/>
        </w:rPr>
      </w:pPr>
    </w:p>
    <w:p>
      <w:pPr>
        <w:jc w:val="center"/>
        <w:ind w:left="1280"/>
        <w:spacing w:after="0"/>
        <w:rPr>
          <w:sz w:val="20"/>
          <w:szCs w:val="20"/>
          <w:color w:val="auto"/>
        </w:rPr>
      </w:pPr>
      <w:r>
        <w:rPr>
          <w:rFonts w:ascii="Arial" w:cs="Arial" w:eastAsia="Arial" w:hAnsi="Arial"/>
          <w:sz w:val="18"/>
          <w:szCs w:val="18"/>
          <w:color w:val="auto"/>
        </w:rPr>
        <w:t>9.4</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10.2</w:t>
      </w:r>
    </w:p>
    <w:p>
      <w:pPr>
        <w:spacing w:after="0" w:line="23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6686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of Xcel Brands, Inc.</w:t>
      </w:r>
      <w:r>
        <w:rPr>
          <w:rFonts w:ascii="Arial" w:cs="Arial" w:eastAsia="Arial" w:hAnsi="Arial"/>
          <w:sz w:val="30"/>
          <w:szCs w:val="30"/>
          <w:color w:val="auto"/>
          <w:vertAlign w:val="superscript"/>
        </w:rPr>
        <w:t>(9)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Second Restated and Amended Bylaws of Xcel Brands, Inc.</w:t>
      </w:r>
      <w:r>
        <w:rPr>
          <w:rFonts w:ascii="Arial" w:cs="Arial" w:eastAsia="Arial" w:hAnsi="Arial"/>
          <w:sz w:val="30"/>
          <w:szCs w:val="30"/>
          <w:color w:val="auto"/>
          <w:vertAlign w:val="superscript"/>
        </w:rPr>
        <w:t>(9)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Third Amended and Restated Equity Incentive Plan and Forms of Award Agreements </w:t>
      </w:r>
      <w:r>
        <w:rPr>
          <w:rFonts w:ascii="Arial" w:cs="Arial" w:eastAsia="Arial" w:hAnsi="Arial"/>
          <w:sz w:val="30"/>
          <w:szCs w:val="30"/>
          <w:color w:val="auto"/>
          <w:vertAlign w:val="superscript"/>
        </w:rPr>
        <w:t>(16)</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Form of Investor Warrant issued in connection with the private placement consummated on September 29, 2011</w:t>
      </w:r>
      <w:r>
        <w:rPr>
          <w:rFonts w:ascii="Arial" w:cs="Arial" w:eastAsia="Arial" w:hAnsi="Arial"/>
          <w:sz w:val="28"/>
          <w:szCs w:val="28"/>
          <w:color w:val="auto"/>
          <w:vertAlign w:val="superscript"/>
        </w:rPr>
        <w:t>(1)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Form of Executive Warrant</w:t>
      </w:r>
      <w:r>
        <w:rPr>
          <w:rFonts w:ascii="Arial" w:cs="Arial" w:eastAsia="Arial" w:hAnsi="Arial"/>
          <w:sz w:val="30"/>
          <w:szCs w:val="30"/>
          <w:color w:val="auto"/>
          <w:vertAlign w:val="superscript"/>
        </w:rPr>
        <w:t>(1)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Joe Falco dated September 29, 2011</w:t>
      </w:r>
      <w:r>
        <w:rPr>
          <w:rFonts w:ascii="Arial" w:cs="Arial" w:eastAsia="Arial" w:hAnsi="Arial"/>
          <w:sz w:val="30"/>
          <w:szCs w:val="30"/>
          <w:color w:val="auto"/>
          <w:vertAlign w:val="superscript"/>
        </w:rPr>
        <w:t>(1)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Great American Life Insurance Company dated September 29, 2011</w:t>
      </w:r>
      <w:r>
        <w:rPr>
          <w:rFonts w:ascii="Arial" w:cs="Arial" w:eastAsia="Arial" w:hAnsi="Arial"/>
          <w:sz w:val="30"/>
          <w:szCs w:val="30"/>
          <w:color w:val="auto"/>
          <w:vertAlign w:val="superscript"/>
        </w:rPr>
        <w:t>(1)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Great American Insurance Company dated September 29, 2011</w:t>
      </w:r>
      <w:r>
        <w:rPr>
          <w:rFonts w:ascii="Arial" w:cs="Arial" w:eastAsia="Arial" w:hAnsi="Arial"/>
          <w:sz w:val="30"/>
          <w:szCs w:val="30"/>
          <w:color w:val="auto"/>
          <w:vertAlign w:val="superscript"/>
        </w:rPr>
        <w:t>(1)</w:t>
      </w:r>
    </w:p>
    <w:p>
      <w:pPr>
        <w:spacing w:after="0" w:line="70" w:lineRule="exact"/>
        <w:rPr>
          <w:sz w:val="20"/>
          <w:szCs w:val="20"/>
          <w:color w:val="auto"/>
        </w:rPr>
      </w:pPr>
    </w:p>
    <w:p>
      <w:pPr>
        <w:ind w:right="620"/>
        <w:spacing w:after="0" w:line="280" w:lineRule="auto"/>
        <w:rPr>
          <w:sz w:val="20"/>
          <w:szCs w:val="20"/>
          <w:color w:val="auto"/>
        </w:rPr>
      </w:pPr>
      <w:r>
        <w:rPr>
          <w:rFonts w:ascii="Arial" w:cs="Arial" w:eastAsia="Arial" w:hAnsi="Arial"/>
          <w:sz w:val="18"/>
          <w:szCs w:val="18"/>
          <w:color w:val="auto"/>
        </w:rPr>
        <w:t>Rights Agreement by and among Xcel Brands, Inc., Great American Life Insurance Company and Great American Insurance Company, dated September 29, 2011</w:t>
      </w:r>
      <w:r>
        <w:rPr>
          <w:rFonts w:ascii="Arial" w:cs="Arial" w:eastAsia="Arial" w:hAnsi="Arial"/>
          <w:sz w:val="30"/>
          <w:szCs w:val="30"/>
          <w:color w:val="auto"/>
          <w:vertAlign w:val="superscript"/>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issued in the June 5, 2013 private placement</w:t>
      </w:r>
      <w:r>
        <w:rPr>
          <w:rFonts w:ascii="Arial" w:cs="Arial" w:eastAsia="Arial" w:hAnsi="Arial"/>
          <w:sz w:val="30"/>
          <w:szCs w:val="30"/>
          <w:color w:val="auto"/>
          <w:vertAlign w:val="superscript"/>
        </w:rPr>
        <w:t>(3)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Warrant issued to Hilco Trading LLC dated December 23, 2014</w:t>
      </w:r>
      <w:r>
        <w:rPr>
          <w:rFonts w:ascii="Arial" w:cs="Arial" w:eastAsia="Arial" w:hAnsi="Arial"/>
          <w:sz w:val="30"/>
          <w:szCs w:val="30"/>
          <w:color w:val="auto"/>
          <w:vertAlign w:val="superscript"/>
        </w:rPr>
        <w:t>(11)</w:t>
      </w:r>
    </w:p>
    <w:p>
      <w:pPr>
        <w:spacing w:after="0" w:line="86" w:lineRule="exact"/>
        <w:rPr>
          <w:sz w:val="20"/>
          <w:szCs w:val="20"/>
          <w:color w:val="auto"/>
        </w:rPr>
      </w:pPr>
    </w:p>
    <w:p>
      <w:pPr>
        <w:spacing w:after="0" w:line="188" w:lineRule="auto"/>
        <w:rPr>
          <w:sz w:val="20"/>
          <w:szCs w:val="20"/>
          <w:color w:val="auto"/>
        </w:rPr>
      </w:pPr>
      <w:r>
        <w:rPr>
          <w:rFonts w:ascii="Arial" w:cs="Arial" w:eastAsia="Arial" w:hAnsi="Arial"/>
          <w:sz w:val="18"/>
          <w:szCs w:val="18"/>
          <w:color w:val="auto"/>
        </w:rPr>
        <w:t xml:space="preserve">Amended and Restated Voting Agreement between Xcel Brands, Inc. and IM Ready-Made, LLC, dated as of December 24, </w:t>
      </w:r>
      <w:r>
        <w:rPr>
          <w:rFonts w:ascii="Arial" w:cs="Arial" w:eastAsia="Arial" w:hAnsi="Arial"/>
          <w:sz w:val="36"/>
          <w:szCs w:val="36"/>
          <w:color w:val="auto"/>
          <w:vertAlign w:val="subscript"/>
        </w:rPr>
        <w:t>2011</w:t>
      </w:r>
      <w:r>
        <w:rPr>
          <w:rFonts w:ascii="Arial" w:cs="Arial" w:eastAsia="Arial" w:hAnsi="Arial"/>
          <w:sz w:val="15"/>
          <w:szCs w:val="15"/>
          <w:color w:val="auto"/>
        </w:rPr>
        <w:t>(3)(5)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Voting Agreement between Xcel Brands, Inc. and Judith Ripka Berk, dated as of April 1, 2014</w:t>
      </w:r>
      <w:r>
        <w:rPr>
          <w:rFonts w:ascii="Arial" w:cs="Arial" w:eastAsia="Arial" w:hAnsi="Arial"/>
          <w:sz w:val="30"/>
          <w:szCs w:val="30"/>
          <w:color w:val="auto"/>
          <w:vertAlign w:val="superscript"/>
        </w:rPr>
        <w:t>(7)</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Voting Agreement dated as of December 22, 2014 by and between Xcel Brands, Inc. and H Company IP, LLC</w:t>
      </w:r>
      <w:r>
        <w:rPr>
          <w:rFonts w:ascii="Arial" w:cs="Arial" w:eastAsia="Arial" w:hAnsi="Arial"/>
          <w:sz w:val="28"/>
          <w:szCs w:val="28"/>
          <w:color w:val="auto"/>
          <w:vertAlign w:val="superscript"/>
        </w:rPr>
        <w:t>(10)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Voting Agreement dated as of December 22, 2014 by and between Xcel Brands, Inc. and Hilco Trading, LLC</w:t>
      </w:r>
      <w:r>
        <w:rPr>
          <w:rFonts w:ascii="Arial" w:cs="Arial" w:eastAsia="Arial" w:hAnsi="Arial"/>
          <w:sz w:val="28"/>
          <w:szCs w:val="28"/>
          <w:color w:val="auto"/>
          <w:vertAlign w:val="superscript"/>
        </w:rPr>
        <w:t>(10)</w:t>
      </w:r>
    </w:p>
    <w:p>
      <w:pPr>
        <w:spacing w:after="0" w:line="93"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Asset Purchase Agreement by and among Xcel Brands, Inc., IM Brands, LLC, IM Ready-Made, LLC, Isaac Mizrahi and Marisa Gardini, dated as of May 19, 2011, as amended on July 28, 2011, as amended on September 15, 2011, as amended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September 21, 2011, and as amended on September 29, 2011</w:t>
      </w:r>
      <w:r>
        <w:rPr>
          <w:rFonts w:ascii="Arial" w:cs="Arial" w:eastAsia="Arial" w:hAnsi="Arial"/>
          <w:sz w:val="30"/>
          <w:szCs w:val="30"/>
          <w:color w:val="auto"/>
          <w:vertAlign w:val="superscript"/>
        </w:rPr>
        <w:t>(1)</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Subordinated Promissory Note between Xcel Brands, Inc. and IM Ready-Made, LLC, dated September 19, 2016</w:t>
      </w:r>
      <w:r>
        <w:rPr>
          <w:rFonts w:ascii="Arial" w:cs="Arial" w:eastAsia="Arial" w:hAnsi="Arial"/>
          <w:sz w:val="28"/>
          <w:szCs w:val="28"/>
          <w:color w:val="auto"/>
          <w:vertAlign w:val="superscript"/>
        </w:rPr>
        <w:t>(17)</w:t>
      </w:r>
    </w:p>
    <w:p>
      <w:pPr>
        <w:spacing w:after="0" w:line="93"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Second Amended and Restated Agreement and Consent to Assignment by and among QVC, Inc., IM Brands, LLC, IM Ready-Made, LLC, Xcel Brands, Inc. and Isaac Mizrahi, dated September 28, 2011</w:t>
      </w:r>
      <w:r>
        <w:rPr>
          <w:rFonts w:ascii="Arial" w:cs="Arial" w:eastAsia="Arial" w:hAnsi="Arial"/>
          <w:sz w:val="30"/>
          <w:szCs w:val="30"/>
          <w:color w:val="auto"/>
          <w:vertAlign w:val="superscript"/>
        </w:rPr>
        <w:t>(2)</w:t>
      </w:r>
    </w:p>
    <w:p>
      <w:pPr>
        <w:spacing w:after="0" w:line="240"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920" w:space="280"/>
            <w:col w:w="8880"/>
          </w:cols>
          <w:pgMar w:left="240" w:top="904" w:right="5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892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0"/>
                <w:szCs w:val="20"/>
                <w:color w:val="auto"/>
              </w:rPr>
            </w:pPr>
          </w:p>
        </w:tc>
      </w:tr>
      <w:tr>
        <w:trPr>
          <w:trHeight w:val="375"/>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3"/>
              </w:rPr>
              <w:t>Assignment and Assumption, New York Landlord Consent by and among Adler Holdings III, LLC, IM Ready-Made, LLC</w:t>
            </w:r>
          </w:p>
        </w:tc>
        <w:tc>
          <w:tcPr>
            <w:tcW w:w="300" w:type="dxa"/>
            <w:vAlign w:val="bottom"/>
          </w:tcPr>
          <w:p>
            <w:pPr>
              <w:spacing w:after="0"/>
              <w:rPr>
                <w:sz w:val="24"/>
                <w:szCs w:val="24"/>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and Xcel Brands, Inc., dated September 29, 2011, and Guaranty by IM Brands, Inc., dated September 29, 2011</w:t>
            </w:r>
            <w:r>
              <w:rPr>
                <w:rFonts w:ascii="Arial" w:cs="Arial" w:eastAsia="Arial" w:hAnsi="Arial"/>
                <w:sz w:val="30"/>
                <w:szCs w:val="30"/>
                <w:color w:val="auto"/>
                <w:w w:val="97"/>
                <w:vertAlign w:val="superscript"/>
              </w:rPr>
              <w:t>(1)</w:t>
            </w:r>
          </w:p>
        </w:tc>
        <w:tc>
          <w:tcPr>
            <w:tcW w:w="300" w:type="dxa"/>
            <w:vAlign w:val="bottom"/>
          </w:tcPr>
          <w:p>
            <w:pPr>
              <w:spacing w:after="0"/>
              <w:rPr>
                <w:sz w:val="24"/>
                <w:szCs w:val="24"/>
                <w:color w:val="auto"/>
              </w:rPr>
            </w:pPr>
          </w:p>
        </w:tc>
      </w:tr>
      <w:tr>
        <w:trPr>
          <w:trHeight w:val="245"/>
        </w:trPr>
        <w:tc>
          <w:tcPr>
            <w:tcW w:w="10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10.5+</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2"/>
              </w:rPr>
              <w:t>Agreement of Merger and Plan Reorganization by and among NetFabric Holdings, Inc., NetFabric Acquisition Corp., and</w:t>
            </w:r>
          </w:p>
        </w:tc>
        <w:tc>
          <w:tcPr>
            <w:tcW w:w="300" w:type="dxa"/>
            <w:vAlign w:val="bottom"/>
          </w:tcPr>
          <w:p>
            <w:pPr>
              <w:spacing w:after="0"/>
              <w:rPr>
                <w:sz w:val="21"/>
                <w:szCs w:val="21"/>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Xcel Brands, Inc., dated September 29, 2011</w:t>
            </w:r>
            <w:r>
              <w:rPr>
                <w:rFonts w:ascii="Arial" w:cs="Arial" w:eastAsia="Arial" w:hAnsi="Arial"/>
                <w:sz w:val="30"/>
                <w:szCs w:val="30"/>
                <w:color w:val="auto"/>
                <w:vertAlign w:val="superscript"/>
              </w:rPr>
              <w:t>(1)</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Employment Agreement entered into with Isaac Mizrahi, dated December 24, 2013</w:t>
            </w:r>
            <w:r>
              <w:rPr>
                <w:rFonts w:ascii="Arial" w:cs="Arial" w:eastAsia="Arial" w:hAnsi="Arial"/>
                <w:sz w:val="30"/>
                <w:szCs w:val="30"/>
                <w:color w:val="auto"/>
                <w:vertAlign w:val="superscript"/>
              </w:rPr>
              <w:t>(5)</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First Amendment to Employment Agreement entered into with Isaac Mizrahi made as of December 2, 2015</w:t>
            </w:r>
            <w:r>
              <w:rPr>
                <w:rFonts w:ascii="Arial" w:cs="Arial" w:eastAsia="Arial" w:hAnsi="Arial"/>
                <w:sz w:val="30"/>
                <w:szCs w:val="30"/>
                <w:color w:val="auto"/>
                <w:vertAlign w:val="superscript"/>
              </w:rPr>
              <w:t>(13)</w:t>
            </w:r>
          </w:p>
        </w:tc>
        <w:tc>
          <w:tcPr>
            <w:tcW w:w="300" w:type="dxa"/>
            <w:vAlign w:val="bottom"/>
          </w:tcPr>
          <w:p>
            <w:pPr>
              <w:spacing w:after="0"/>
              <w:rPr>
                <w:sz w:val="24"/>
                <w:szCs w:val="24"/>
                <w:color w:val="auto"/>
              </w:rPr>
            </w:pPr>
          </w:p>
        </w:tc>
      </w:tr>
      <w:tr>
        <w:trPr>
          <w:trHeight w:val="245"/>
        </w:trPr>
        <w:tc>
          <w:tcPr>
            <w:tcW w:w="10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1"/>
              </w:rPr>
              <w:t>Amendment No. 1 to Second Amended and Restated Agreement and Consent to Assignment by and among QVC, Inc., IM</w:t>
            </w:r>
          </w:p>
        </w:tc>
        <w:tc>
          <w:tcPr>
            <w:tcW w:w="300" w:type="dxa"/>
            <w:vAlign w:val="bottom"/>
          </w:tcPr>
          <w:p>
            <w:pPr>
              <w:spacing w:after="0"/>
              <w:rPr>
                <w:sz w:val="21"/>
                <w:szCs w:val="21"/>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Brands, LLC, IM Ready-Made, LLC, Xcel Brands, Inc. and Isaac Mizrahi, dated September 28, 2011</w:t>
            </w:r>
            <w:r>
              <w:rPr>
                <w:rFonts w:ascii="Arial" w:cs="Arial" w:eastAsia="Arial" w:hAnsi="Arial"/>
                <w:sz w:val="30"/>
                <w:szCs w:val="30"/>
                <w:color w:val="auto"/>
                <w:vertAlign w:val="superscript"/>
              </w:rPr>
              <w:t>(4)</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Second Amended and Restated Employment Agreement between the Company and Robert D’Loren</w:t>
            </w:r>
            <w:r>
              <w:rPr>
                <w:rFonts w:ascii="Arial" w:cs="Arial" w:eastAsia="Arial" w:hAnsi="Arial"/>
                <w:sz w:val="30"/>
                <w:szCs w:val="30"/>
                <w:color w:val="auto"/>
                <w:vertAlign w:val="superscript"/>
              </w:rPr>
              <w:t>(8)</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Second Amended and Restated Employment Agreement between the Company and James Haran</w:t>
            </w:r>
            <w:r>
              <w:rPr>
                <w:rFonts w:ascii="Arial" w:cs="Arial" w:eastAsia="Arial" w:hAnsi="Arial"/>
                <w:sz w:val="30"/>
                <w:szCs w:val="30"/>
                <w:color w:val="auto"/>
                <w:vertAlign w:val="superscript"/>
              </w:rPr>
              <w:t>(8)</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Second Amended and Restated Employment Agreement between the Company and Seth Burroughs</w:t>
            </w:r>
            <w:r>
              <w:rPr>
                <w:rFonts w:ascii="Arial" w:cs="Arial" w:eastAsia="Arial" w:hAnsi="Arial"/>
                <w:sz w:val="30"/>
                <w:szCs w:val="30"/>
                <w:color w:val="auto"/>
                <w:vertAlign w:val="superscript"/>
              </w:rPr>
              <w:t>(8)</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January 24, 2017 by and between the Company and Giuseppe Falco.</w:t>
            </w:r>
            <w:r>
              <w:rPr>
                <w:rFonts w:ascii="Arial" w:cs="Arial" w:eastAsia="Arial" w:hAnsi="Arial"/>
                <w:sz w:val="30"/>
                <w:szCs w:val="30"/>
                <w:color w:val="auto"/>
                <w:vertAlign w:val="superscript"/>
              </w:rPr>
              <w:t>(18)</w:t>
            </w:r>
          </w:p>
        </w:tc>
        <w:tc>
          <w:tcPr>
            <w:tcW w:w="300" w:type="dxa"/>
            <w:vAlign w:val="bottom"/>
          </w:tcPr>
          <w:p>
            <w:pPr>
              <w:spacing w:after="0"/>
              <w:rPr>
                <w:sz w:val="24"/>
                <w:szCs w:val="24"/>
                <w:color w:val="auto"/>
              </w:rPr>
            </w:pPr>
          </w:p>
        </w:tc>
      </w:tr>
      <w:tr>
        <w:trPr>
          <w:trHeight w:val="245"/>
        </w:trPr>
        <w:tc>
          <w:tcPr>
            <w:tcW w:w="10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0"/>
              </w:rPr>
              <w:t>Amended and Restated Fifth Amendment, entered into as of March 14, 2014 and effective as of December 24, 2013, to the</w:t>
            </w:r>
          </w:p>
        </w:tc>
        <w:tc>
          <w:tcPr>
            <w:tcW w:w="300" w:type="dxa"/>
            <w:vAlign w:val="bottom"/>
          </w:tcPr>
          <w:p>
            <w:pPr>
              <w:spacing w:after="0"/>
              <w:rPr>
                <w:sz w:val="21"/>
                <w:szCs w:val="21"/>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Asset Purchase Agreement filed as Exhibit 10.1</w:t>
            </w:r>
            <w:r>
              <w:rPr>
                <w:rFonts w:ascii="Arial" w:cs="Arial" w:eastAsia="Arial" w:hAnsi="Arial"/>
                <w:sz w:val="30"/>
                <w:szCs w:val="30"/>
                <w:color w:val="auto"/>
                <w:vertAlign w:val="superscript"/>
              </w:rPr>
              <w:t>(6)</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Employment Agreement entered into with Judith Ripka Berk as of April 1, 2014.</w:t>
            </w:r>
            <w:r>
              <w:rPr>
                <w:rFonts w:ascii="Arial" w:cs="Arial" w:eastAsia="Arial" w:hAnsi="Arial"/>
                <w:sz w:val="30"/>
                <w:szCs w:val="30"/>
                <w:color w:val="auto"/>
                <w:vertAlign w:val="superscript"/>
              </w:rPr>
              <w:t>(7)</w:t>
            </w:r>
          </w:p>
        </w:tc>
        <w:tc>
          <w:tcPr>
            <w:tcW w:w="300" w:type="dxa"/>
            <w:vAlign w:val="bottom"/>
          </w:tcPr>
          <w:p>
            <w:pPr>
              <w:spacing w:after="0"/>
              <w:rPr>
                <w:sz w:val="24"/>
                <w:szCs w:val="24"/>
                <w:color w:val="auto"/>
              </w:rPr>
            </w:pPr>
          </w:p>
        </w:tc>
      </w:tr>
      <w:tr>
        <w:trPr>
          <w:trHeight w:val="214"/>
        </w:trPr>
        <w:tc>
          <w:tcPr>
            <w:tcW w:w="10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10.15+</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1"/>
              </w:rPr>
              <w:t>Asset Purchase Agreement by and among Xcel Brands, Inc., JR Licensing, LLC, Judith Ripka Creations, Inc., Judith Ripka</w:t>
            </w:r>
          </w:p>
        </w:tc>
        <w:tc>
          <w:tcPr>
            <w:tcW w:w="300" w:type="dxa"/>
            <w:vAlign w:val="bottom"/>
          </w:tcPr>
          <w:p>
            <w:pPr>
              <w:spacing w:after="0"/>
              <w:rPr>
                <w:sz w:val="18"/>
                <w:szCs w:val="18"/>
                <w:color w:val="auto"/>
              </w:rPr>
            </w:pPr>
          </w:p>
        </w:tc>
      </w:tr>
      <w:tr>
        <w:trPr>
          <w:trHeight w:val="220"/>
        </w:trPr>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7"/>
              </w:rPr>
              <w:t>Companies Inc., Judith Ripka Designs, LTD, JSB Marketing Corp. and Judith Ripka Berk entered into as of April 1,</w:t>
            </w:r>
          </w:p>
        </w:tc>
        <w:tc>
          <w:tcPr>
            <w:tcW w:w="300" w:type="dxa"/>
            <w:vAlign w:val="bottom"/>
          </w:tcPr>
          <w:p>
            <w:pPr>
              <w:spacing w:after="0"/>
              <w:rPr>
                <w:sz w:val="19"/>
                <w:szCs w:val="19"/>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2014</w:t>
            </w:r>
            <w:r>
              <w:rPr>
                <w:rFonts w:ascii="Arial" w:cs="Arial" w:eastAsia="Arial" w:hAnsi="Arial"/>
                <w:sz w:val="30"/>
                <w:szCs w:val="30"/>
                <w:color w:val="auto"/>
                <w:vertAlign w:val="superscript"/>
              </w:rPr>
              <w:t>(7)</w:t>
            </w:r>
          </w:p>
        </w:tc>
        <w:tc>
          <w:tcPr>
            <w:tcW w:w="300" w:type="dxa"/>
            <w:vAlign w:val="bottom"/>
          </w:tcPr>
          <w:p>
            <w:pPr>
              <w:spacing w:after="0"/>
              <w:rPr>
                <w:sz w:val="24"/>
                <w:szCs w:val="24"/>
                <w:color w:val="auto"/>
              </w:rPr>
            </w:pPr>
          </w:p>
        </w:tc>
      </w:tr>
      <w:tr>
        <w:trPr>
          <w:trHeight w:val="258"/>
        </w:trPr>
        <w:tc>
          <w:tcPr>
            <w:tcW w:w="10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10.16+</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4"/>
              </w:rPr>
              <w:t>Asset Purchase Agreement by and among Xcel Brands, Inc., H. Licensing, LLC and H Company IP LLC and House of</w:t>
            </w:r>
          </w:p>
        </w:tc>
        <w:tc>
          <w:tcPr>
            <w:tcW w:w="300" w:type="dxa"/>
            <w:vAlign w:val="bottom"/>
          </w:tcPr>
          <w:p>
            <w:pPr>
              <w:spacing w:after="0"/>
              <w:rPr>
                <w:sz w:val="22"/>
                <w:szCs w:val="22"/>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Halston, LLC entered into on December 22, 2014</w:t>
            </w:r>
            <w:r>
              <w:rPr>
                <w:rFonts w:ascii="Arial" w:cs="Arial" w:eastAsia="Arial" w:hAnsi="Arial"/>
                <w:sz w:val="30"/>
                <w:szCs w:val="30"/>
                <w:color w:val="auto"/>
                <w:vertAlign w:val="superscript"/>
              </w:rPr>
              <w:t>(10)</w:t>
            </w:r>
          </w:p>
        </w:tc>
        <w:tc>
          <w:tcPr>
            <w:tcW w:w="300" w:type="dxa"/>
            <w:vAlign w:val="bottom"/>
          </w:tcPr>
          <w:p>
            <w:pPr>
              <w:spacing w:after="0"/>
              <w:rPr>
                <w:sz w:val="24"/>
                <w:szCs w:val="24"/>
                <w:color w:val="auto"/>
              </w:rPr>
            </w:pPr>
          </w:p>
        </w:tc>
      </w:tr>
      <w:tr>
        <w:trPr>
          <w:trHeight w:val="459"/>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Sublease Agreement, dated as of July 8, 2015, by and between Xcel Brands, Inc. and GBG USA Inc.</w:t>
            </w:r>
            <w:r>
              <w:rPr>
                <w:rFonts w:ascii="Arial" w:cs="Arial" w:eastAsia="Arial" w:hAnsi="Arial"/>
                <w:sz w:val="30"/>
                <w:szCs w:val="30"/>
                <w:color w:val="auto"/>
                <w:vertAlign w:val="superscript"/>
              </w:rPr>
              <w:t>(12)</w:t>
            </w:r>
          </w:p>
        </w:tc>
        <w:tc>
          <w:tcPr>
            <w:tcW w:w="300" w:type="dxa"/>
            <w:vAlign w:val="bottom"/>
          </w:tcPr>
          <w:p>
            <w:pPr>
              <w:spacing w:after="0"/>
              <w:rPr>
                <w:sz w:val="24"/>
                <w:szCs w:val="24"/>
                <w:color w:val="auto"/>
              </w:rPr>
            </w:pPr>
          </w:p>
        </w:tc>
      </w:tr>
      <w:tr>
        <w:trPr>
          <w:trHeight w:val="214"/>
        </w:trPr>
        <w:tc>
          <w:tcPr>
            <w:tcW w:w="10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Loan and Security Agreement by and among Bank Hapoalim B.M., as agent, the financial</w:t>
            </w:r>
          </w:p>
        </w:tc>
        <w:tc>
          <w:tcPr>
            <w:tcW w:w="300" w:type="dxa"/>
            <w:vAlign w:val="bottom"/>
          </w:tcPr>
          <w:p>
            <w:pPr>
              <w:spacing w:after="0"/>
              <w:rPr>
                <w:sz w:val="18"/>
                <w:szCs w:val="18"/>
                <w:color w:val="auto"/>
              </w:rPr>
            </w:pPr>
          </w:p>
        </w:tc>
      </w:tr>
      <w:tr>
        <w:trPr>
          <w:trHeight w:val="189"/>
        </w:trPr>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20" w:type="dxa"/>
            <w:vAlign w:val="bottom"/>
            <w:gridSpan w:val="2"/>
          </w:tcPr>
          <w:p>
            <w:pPr>
              <w:ind w:left="100"/>
              <w:spacing w:after="0" w:line="189" w:lineRule="exact"/>
              <w:rPr>
                <w:sz w:val="20"/>
                <w:szCs w:val="20"/>
                <w:color w:val="auto"/>
              </w:rPr>
            </w:pPr>
            <w:r>
              <w:rPr>
                <w:rFonts w:ascii="Arial" w:cs="Arial" w:eastAsia="Arial" w:hAnsi="Arial"/>
                <w:sz w:val="18"/>
                <w:szCs w:val="18"/>
                <w:color w:val="auto"/>
                <w:w w:val="98"/>
              </w:rPr>
              <w:t>institution party thereto as lenders, Xcel Brands, Inc. and IM Brands, LLC, JR Licensing, LLC, H Licensing, LLC, C</w:t>
            </w:r>
          </w:p>
        </w:tc>
        <w:tc>
          <w:tcPr>
            <w:tcW w:w="300" w:type="dxa"/>
            <w:vAlign w:val="bottom"/>
          </w:tcPr>
          <w:p>
            <w:pPr>
              <w:spacing w:after="0"/>
              <w:rPr>
                <w:sz w:val="16"/>
                <w:szCs w:val="16"/>
                <w:color w:val="auto"/>
              </w:rPr>
            </w:pPr>
          </w:p>
        </w:tc>
      </w:tr>
      <w:tr>
        <w:trPr>
          <w:trHeight w:val="220"/>
        </w:trPr>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Wonder Licensing LLC, Xcel Design Group, LLC, IMNY Retail Management. LLC. IMNY E-Store USA, LLC, as</w:t>
            </w:r>
          </w:p>
        </w:tc>
        <w:tc>
          <w:tcPr>
            <w:tcW w:w="300" w:type="dxa"/>
            <w:vAlign w:val="bottom"/>
          </w:tcPr>
          <w:p>
            <w:pPr>
              <w:spacing w:after="0"/>
              <w:rPr>
                <w:sz w:val="19"/>
                <w:szCs w:val="19"/>
                <w:color w:val="auto"/>
              </w:rPr>
            </w:pPr>
          </w:p>
        </w:tc>
      </w:tr>
      <w:tr>
        <w:trPr>
          <w:trHeight w:val="390"/>
        </w:trPr>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 xml:space="preserve">guarantors </w:t>
            </w:r>
            <w:r>
              <w:rPr>
                <w:rFonts w:ascii="Arial" w:cs="Arial" w:eastAsia="Arial" w:hAnsi="Arial"/>
                <w:sz w:val="30"/>
                <w:szCs w:val="30"/>
                <w:color w:val="auto"/>
                <w:vertAlign w:val="superscript"/>
              </w:rPr>
              <w:t>(14)</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Consulting Agreement entered into as of January 31, 2017 between Jones, Texas, Inc. and the Company</w:t>
            </w:r>
            <w:r>
              <w:rPr>
                <w:rFonts w:ascii="Arial" w:cs="Arial" w:eastAsia="Arial" w:hAnsi="Arial"/>
                <w:sz w:val="30"/>
                <w:szCs w:val="30"/>
                <w:color w:val="auto"/>
                <w:vertAlign w:val="superscript"/>
              </w:rPr>
              <w:t>(19)</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Subsidiaries of the Registrant</w:t>
            </w:r>
            <w:r>
              <w:rPr>
                <w:rFonts w:ascii="Arial" w:cs="Arial" w:eastAsia="Arial" w:hAnsi="Arial"/>
                <w:sz w:val="30"/>
                <w:szCs w:val="30"/>
                <w:color w:val="auto"/>
                <w:vertAlign w:val="superscript"/>
              </w:rPr>
              <w:t>(15)</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Consent of Independent Registered Public Accounting Firm</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31(i).1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 xml:space="preserve">Rule 13a-14(a)/15d-14(a) Certification (CEO) </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31(i).2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 xml:space="preserve">Rule 13a-14(a)/15d-14(a) Certification (CFO) </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32(i).1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 xml:space="preserve">Section 1350 Certification (CEO) </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32(i).2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 xml:space="preserve">Section 1350 Certification (CEO) </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446"/>
        </w:trPr>
        <w:tc>
          <w:tcPr>
            <w:tcW w:w="10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30"/>
                <w:szCs w:val="30"/>
                <w:color w:val="auto"/>
                <w:vertAlign w:val="superscript"/>
              </w:rPr>
              <w:t>(20)</w:t>
            </w:r>
          </w:p>
        </w:tc>
        <w:tc>
          <w:tcPr>
            <w:tcW w:w="300" w:type="dxa"/>
            <w:vAlign w:val="bottom"/>
          </w:tcPr>
          <w:p>
            <w:pPr>
              <w:spacing w:after="0"/>
              <w:rPr>
                <w:sz w:val="24"/>
                <w:szCs w:val="24"/>
                <w:color w:val="auto"/>
              </w:rPr>
            </w:pPr>
          </w:p>
        </w:tc>
      </w:tr>
      <w:tr>
        <w:trPr>
          <w:trHeight w:val="539"/>
        </w:trPr>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gridSpan w:val="2"/>
          </w:tcPr>
          <w:p>
            <w:pPr>
              <w:ind w:left="3480"/>
              <w:spacing w:after="0"/>
              <w:rPr>
                <w:sz w:val="20"/>
                <w:szCs w:val="20"/>
                <w:color w:val="auto"/>
              </w:rPr>
            </w:pPr>
            <w:r>
              <w:rPr>
                <w:rFonts w:ascii="Arial" w:cs="Arial" w:eastAsia="Arial" w:hAnsi="Arial"/>
                <w:sz w:val="22"/>
                <w:szCs w:val="22"/>
                <w:color w:val="auto"/>
              </w:rPr>
              <w:t>82</w:t>
            </w: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3" w:name="page84"/>
    <w:bookmarkEnd w:id="83"/>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892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Description</w:t>
            </w:r>
          </w:p>
        </w:tc>
      </w:tr>
      <w:tr>
        <w:trPr>
          <w:trHeight w:val="57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Taxonomy Schema</w:t>
            </w:r>
            <w:r>
              <w:rPr>
                <w:rFonts w:ascii="Arial" w:cs="Arial" w:eastAsia="Arial" w:hAnsi="Arial"/>
                <w:sz w:val="30"/>
                <w:szCs w:val="30"/>
                <w:color w:val="auto"/>
                <w:vertAlign w:val="superscript"/>
              </w:rPr>
              <w:t>(20)</w:t>
            </w:r>
          </w:p>
        </w:tc>
      </w:tr>
      <w:tr>
        <w:trPr>
          <w:trHeight w:val="446"/>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Taxonomy Calculation Linkbase</w:t>
            </w:r>
            <w:r>
              <w:rPr>
                <w:rFonts w:ascii="Arial" w:cs="Arial" w:eastAsia="Arial" w:hAnsi="Arial"/>
                <w:sz w:val="30"/>
                <w:szCs w:val="30"/>
                <w:color w:val="auto"/>
                <w:vertAlign w:val="superscript"/>
              </w:rPr>
              <w:t>(20)</w:t>
            </w:r>
          </w:p>
        </w:tc>
      </w:tr>
      <w:tr>
        <w:trPr>
          <w:trHeight w:val="44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Taxonomy Definition Linkbase</w:t>
            </w:r>
            <w:r>
              <w:rPr>
                <w:rFonts w:ascii="Arial" w:cs="Arial" w:eastAsia="Arial" w:hAnsi="Arial"/>
                <w:sz w:val="30"/>
                <w:szCs w:val="30"/>
                <w:color w:val="auto"/>
                <w:vertAlign w:val="superscript"/>
              </w:rPr>
              <w:t>(20)</w:t>
            </w:r>
          </w:p>
        </w:tc>
      </w:tr>
      <w:tr>
        <w:trPr>
          <w:trHeight w:val="44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Taxonomy Label Linkbase</w:t>
            </w:r>
            <w:r>
              <w:rPr>
                <w:rFonts w:ascii="Arial" w:cs="Arial" w:eastAsia="Arial" w:hAnsi="Arial"/>
                <w:sz w:val="30"/>
                <w:szCs w:val="30"/>
                <w:color w:val="auto"/>
                <w:vertAlign w:val="superscript"/>
              </w:rPr>
              <w:t>(20)</w:t>
            </w:r>
          </w:p>
        </w:tc>
      </w:tr>
      <w:tr>
        <w:trPr>
          <w:trHeight w:val="446"/>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XBRL Taxonomy Presentation Linkbase</w:t>
            </w:r>
            <w:r>
              <w:rPr>
                <w:rFonts w:ascii="Arial" w:cs="Arial" w:eastAsia="Arial" w:hAnsi="Arial"/>
                <w:sz w:val="30"/>
                <w:szCs w:val="30"/>
                <w:color w:val="auto"/>
                <w:vertAlign w:val="superscript"/>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09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October 5, 2011.</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8-K/A, which was filed with the SEC on February 7, 2012.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June 7, 2013.</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20,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April 9, 2014.</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3, 2014</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November 7, 2014.</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2014.</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2014, which was filed with the SEC on March 31, 2015.</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14, 2015.</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17, 2015.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March 3, 2016.</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2015, which was filed with the SEC on March 17, 2016.</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Definitive Proxy Statement on Form 14A, which was filed with the SEC on August 15, 2016.</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September 23, 2016.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Current Report on Form 8-K, which was filed with the SEC on January 26,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exhibit is incorporated by reference to the Registration Statement on Form S-3 (N. 333-216009), which was filed with the SEC on February 3, 2017.</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 Such portions are designated “***”.</w:t>
      </w:r>
    </w:p>
    <w:p>
      <w:pPr>
        <w:spacing w:after="0" w:line="170" w:lineRule="exact"/>
        <w:rPr>
          <w:sz w:val="20"/>
          <w:szCs w:val="20"/>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23,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Title</w:t>
            </w:r>
          </w:p>
        </w:tc>
        <w:tc>
          <w:tcPr>
            <w:tcW w:w="1760" w:type="dxa"/>
            <w:vAlign w:val="bottom"/>
          </w:tcPr>
          <w:p>
            <w:pPr>
              <w:spacing w:after="0"/>
              <w:rPr>
                <w:sz w:val="19"/>
                <w:szCs w:val="19"/>
                <w:color w:val="auto"/>
              </w:rPr>
            </w:pPr>
          </w:p>
        </w:tc>
      </w:tr>
      <w:tr>
        <w:trPr>
          <w:trHeight w:val="230"/>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D’Loren</w:t>
            </w:r>
          </w:p>
        </w:tc>
        <w:tc>
          <w:tcPr>
            <w:tcW w:w="5220" w:type="dxa"/>
            <w:vAlign w:val="bottom"/>
          </w:tcPr>
          <w:p>
            <w:pPr>
              <w:ind w:left="140"/>
              <w:spacing w:after="0"/>
              <w:rPr>
                <w:sz w:val="20"/>
                <w:szCs w:val="20"/>
                <w:color w:val="auto"/>
              </w:rPr>
            </w:pPr>
            <w:r>
              <w:rPr>
                <w:rFonts w:ascii="Arial" w:cs="Arial" w:eastAsia="Arial" w:hAnsi="Arial"/>
                <w:sz w:val="18"/>
                <w:szCs w:val="18"/>
                <w:color w:val="auto"/>
              </w:rPr>
              <w:t>Chief Executive Officer and Chairman</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Robert W. D’Loren</w:t>
            </w:r>
          </w:p>
        </w:tc>
        <w:tc>
          <w:tcPr>
            <w:tcW w:w="52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Haran</w:t>
            </w:r>
          </w:p>
        </w:tc>
        <w:tc>
          <w:tcPr>
            <w:tcW w:w="52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James Haran</w:t>
            </w:r>
          </w:p>
        </w:tc>
        <w:tc>
          <w:tcPr>
            <w:tcW w:w="5220" w:type="dxa"/>
            <w:vAlign w:val="bottom"/>
          </w:tcPr>
          <w:p>
            <w:pPr>
              <w:ind w:left="140"/>
              <w:spacing w:after="0"/>
              <w:rPr>
                <w:sz w:val="20"/>
                <w:szCs w:val="20"/>
                <w:color w:val="auto"/>
              </w:rPr>
            </w:pPr>
            <w:r>
              <w:rPr>
                <w:rFonts w:ascii="Arial" w:cs="Arial" w:eastAsia="Arial" w:hAnsi="Arial"/>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R. Francis</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Michael R. Francis</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Benjamin Malka</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Benjamin Malka</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DiSanto</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Mark DiSanto</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Kirschenbaum</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Richard Kirschenbaum</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Edward Jones, III</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Edward Jones, III</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Howard Liebman</w:t>
            </w:r>
          </w:p>
        </w:tc>
        <w:tc>
          <w:tcPr>
            <w:tcW w:w="52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620"/>
              <w:spacing w:after="0"/>
              <w:rPr>
                <w:sz w:val="20"/>
                <w:szCs w:val="20"/>
                <w:color w:val="auto"/>
              </w:rPr>
            </w:pPr>
            <w:r>
              <w:rPr>
                <w:rFonts w:ascii="Arial" w:cs="Arial" w:eastAsia="Arial" w:hAnsi="Arial"/>
                <w:sz w:val="18"/>
                <w:szCs w:val="18"/>
                <w:color w:val="auto"/>
                <w:w w:val="89"/>
              </w:rPr>
              <w:t>March 23, 2017</w:t>
            </w: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Howard Liebman</w:t>
            </w:r>
          </w:p>
        </w:tc>
        <w:tc>
          <w:tcPr>
            <w:tcW w:w="52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S-3 (File Nos. 333-188987 and 333-216009) and on Form S-8 (File Nos. 333-188985, 333-201252, and 333-214150) of Xcel Brands, Inc. of our report dated March 23, 2017 on our audits of the consolidated financial statements of Xcel Brands, Inc. and Subsidiaries as of December 31, 2016 and 2015 and for the years then ended, included in this Annual Report on Form 10-K of Xcel Brands, Inc. for the year ended December 31,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2016.</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2016.</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2016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 (Principal Executive Officer)</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2016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lvl w:ilvl="1">
      <w:lvlJc w:val="left"/>
      <w:lvlText w:val="·"/>
      <w:numFmt w:val="bullet"/>
      <w:start w:val="1"/>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lowerRoman"/>
      <w:start w:val="3"/>
    </w:lvl>
  </w:abstractNum>
  <w:abstractNum w:abstractNumId="18">
    <w:nsid w:val="3A95F874"/>
    <w:multiLevelType w:val="hybridMultilevel"/>
    <w:lvl w:ilvl="0">
      <w:lvlJc w:val="left"/>
      <w:lvlText w:val="(%1)"/>
      <w:numFmt w:val="lowerRoman"/>
      <w:start w:val="2"/>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lowerRoman"/>
      <w:start w:val="3"/>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5"/>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2"/>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2019-12-29T06:10:52Z</dcterms:created>
  <dcterms:modified xsi:type="dcterms:W3CDTF">2019-12-29T06:10:52Z</dcterms:modified>
</cp:coreProperties>
</file>