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ind w:left="4640" w:right="2180" w:hanging="2247"/>
        <w:spacing w:after="0" w:line="282" w:lineRule="auto"/>
        <w:tabs>
          <w:tab w:leader="none" w:pos="267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UNDER SECTION 13 OR 15 (D) OF THE SECURITIES EXCHANGE ACT OF 1934</w:t>
      </w:r>
    </w:p>
    <w:p>
      <w:pPr>
        <w:spacing w:after="0" w:line="18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256" w:lineRule="exact"/>
        <w:rPr>
          <w:sz w:val="24"/>
          <w:szCs w:val="24"/>
          <w:color w:val="auto"/>
        </w:rPr>
      </w:pPr>
    </w:p>
    <w:p>
      <w:pPr>
        <w:jc w:val="center"/>
        <w:ind w:right="-219"/>
        <w:spacing w:after="0"/>
        <w:rPr>
          <w:sz w:val="20"/>
          <w:szCs w:val="20"/>
          <w:color w:val="auto"/>
        </w:rPr>
      </w:pPr>
      <w:r>
        <w:rPr>
          <w:rFonts w:ascii="Arial" w:cs="Arial" w:eastAsia="Arial" w:hAnsi="Arial"/>
          <w:sz w:val="18"/>
          <w:szCs w:val="18"/>
          <w:i w:val="1"/>
          <w:iCs w:val="1"/>
          <w:color w:val="auto"/>
        </w:rPr>
        <w:t>COMMISSION FILE NUMBER: 0-21419</w:t>
      </w: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XCEL BRANDS,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472" w:right="439" w:bottom="1440" w:gutter="0" w:footer="0" w:header="0"/>
        </w:sectPr>
      </w:pPr>
    </w:p>
    <w:p>
      <w:pPr>
        <w:spacing w:after="0" w:line="238"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76-0307819</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60" w:space="720"/>
            <w:col w:w="3840"/>
          </w:cols>
          <w:pgMar w:left="240" w:top="472" w:right="439" w:bottom="1440" w:gutter="0" w:footer="0" w:header="0"/>
          <w:type w:val="continuous"/>
        </w:sectPr>
      </w:pP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475 Tenth Ave,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jc w:val="center"/>
        <w:ind w:right="-219"/>
        <w:spacing w:after="0"/>
        <w:rPr>
          <w:sz w:val="20"/>
          <w:szCs w:val="20"/>
          <w:color w:val="auto"/>
        </w:rPr>
      </w:pPr>
      <w:r>
        <w:rPr>
          <w:rFonts w:ascii="Arial" w:cs="Arial" w:eastAsia="Arial" w:hAnsi="Arial"/>
          <w:sz w:val="18"/>
          <w:szCs w:val="18"/>
          <w:u w:val="single" w:color="auto"/>
          <w:color w:val="auto"/>
        </w:rPr>
        <w:t>New York, NY 10018</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(347)-532-5891</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(Issuer's Telephone Number, Including Area Code)</w:t>
      </w:r>
    </w:p>
    <w:p>
      <w:pPr>
        <w:spacing w:after="0" w:line="238"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NetFabric Holdings, Inc</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117 Randolph Avenue,</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u w:val="single" w:color="auto"/>
          <w:color w:val="auto"/>
        </w:rPr>
        <w:t>Jersey City, New Jersey 07305</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(Former name, former address, if changed since last report)</w:t>
      </w:r>
    </w:p>
    <w:p>
      <w:pPr>
        <w:spacing w:after="0" w:line="238"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43"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72" w:right="439" w:bottom="1440" w:gutter="0" w:footer="0" w:header="0"/>
          <w:type w:val="continuous"/>
        </w:sectPr>
      </w:pPr>
    </w:p>
    <w:p>
      <w:pPr>
        <w:spacing w:after="0" w:line="2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Small reporting company x</w:t>
      </w:r>
    </w:p>
    <w:p>
      <w:pPr>
        <w:spacing w:after="0" w:line="200" w:lineRule="exact"/>
        <w:rPr>
          <w:sz w:val="24"/>
          <w:szCs w:val="24"/>
          <w:color w:val="auto"/>
        </w:rPr>
      </w:pPr>
    </w:p>
    <w:p>
      <w:pPr>
        <w:sectPr>
          <w:pgSz w:w="11900" w:h="16838" w:orient="portrait"/>
          <w:cols w:equalWidth="0" w:num="2">
            <w:col w:w="7280" w:space="720"/>
            <w:col w:w="3220"/>
          </w:cols>
          <w:pgMar w:left="240" w:top="472" w:right="439" w:bottom="1440" w:gutter="0" w:footer="0" w:header="0"/>
          <w:type w:val="continuous"/>
        </w:sectPr>
      </w:pPr>
    </w:p>
    <w:p>
      <w:pPr>
        <w:spacing w:after="0" w:line="43" w:lineRule="exact"/>
        <w:rPr>
          <w:sz w:val="24"/>
          <w:szCs w:val="24"/>
          <w:color w:val="auto"/>
        </w:rPr>
      </w:pPr>
    </w:p>
    <w:p>
      <w:pPr>
        <w:spacing w:after="0" w:line="196" w:lineRule="exact"/>
        <w:tabs>
          <w:tab w:leader="none" w:pos="8920" w:val="left"/>
        </w:tabs>
        <w:rPr>
          <w:sz w:val="20"/>
          <w:szCs w:val="20"/>
          <w:color w:val="auto"/>
        </w:rPr>
      </w:pPr>
      <w:r>
        <w:rPr>
          <w:rFonts w:ascii="Arial" w:cs="Arial" w:eastAsia="Arial" w:hAnsi="Arial"/>
          <w:sz w:val="17"/>
          <w:szCs w:val="17"/>
          <w:color w:val="auto"/>
        </w:rPr>
        <w:t>Indicate by a check mark whether the registrant is a shell company (as defined in Rule 12b-2 of the Exchange Act). 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6"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3, 2011, 5,742,942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8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XCEL BRANDS, 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80" w:type="dxa"/>
            <w:vAlign w:val="bottom"/>
          </w:tcPr>
          <w:p>
            <w:pPr>
              <w:jc w:val="center"/>
              <w:ind w:left="27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PART I.</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FINANCIAL INFORMATION</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Financial Statements (Unaudited)</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Balance Sheets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Statements of Operations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Statements of Stockholders’ Equity</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Condensed Consolidated Statements of Cash Flow</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Notes to Interim Condensed Consolidated Financial Statements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Controls and Procedures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PART II.</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OTHER INFORMATION</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Legal Proceedings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Exhibits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Signatures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2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Isaac Mizrahi Business Financial Statements</w:t>
            </w: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80" w:type="dxa"/>
            <w:vAlign w:val="bottom"/>
          </w:tcPr>
          <w:p>
            <w:pPr>
              <w:jc w:val="center"/>
              <w:ind w:left="250"/>
              <w:spacing w:after="0"/>
              <w:rPr>
                <w:sz w:val="20"/>
                <w:szCs w:val="20"/>
                <w:color w:val="auto"/>
              </w:rPr>
            </w:pPr>
            <w:r>
              <w:rPr>
                <w:rFonts w:ascii="Arial" w:cs="Arial" w:eastAsia="Arial" w:hAnsi="Arial"/>
                <w:sz w:val="18"/>
                <w:szCs w:val="18"/>
                <w:color w:val="auto"/>
                <w:w w:val="93"/>
              </w:rPr>
              <w:t>- 2 -</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9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20" w:type="dxa"/>
            <w:vAlign w:val="bottom"/>
            <w:gridSpan w:val="3"/>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tcBorders>
              <w:top w:val="single" w:sz="8" w:color="auto"/>
            </w:tcBorders>
            <w:shd w:val="clear" w:color="auto" w:fill="CCFFCC"/>
          </w:tcPr>
          <w:p>
            <w:pPr>
              <w:spacing w:after="0"/>
              <w:rPr>
                <w:sz w:val="17"/>
                <w:szCs w:val="17"/>
                <w:color w:val="auto"/>
              </w:rPr>
            </w:pPr>
          </w:p>
        </w:tc>
        <w:tc>
          <w:tcPr>
            <w:tcW w:w="90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20" w:type="dxa"/>
            <w:vAlign w:val="bottom"/>
            <w:tcBorders>
              <w:top w:val="single" w:sz="8" w:color="CCFFCC"/>
            </w:tcBorders>
            <w:shd w:val="clear" w:color="auto" w:fill="CCFFCC"/>
          </w:tcPr>
          <w:p>
            <w:pPr>
              <w:spacing w:after="0" w:line="20" w:lineRule="exact"/>
              <w:rPr>
                <w:sz w:val="1"/>
                <w:szCs w:val="1"/>
                <w:color w:val="auto"/>
              </w:rPr>
            </w:pPr>
          </w:p>
        </w:tc>
        <w:tc>
          <w:tcPr>
            <w:tcW w:w="57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4,128,460</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47,327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265,687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320" w:type="dxa"/>
            <w:vAlign w:val="bottom"/>
            <w:shd w:val="clear" w:color="auto" w:fill="CCFFCC"/>
          </w:tcPr>
          <w:p>
            <w:pPr>
              <w:spacing w:after="0"/>
              <w:rPr>
                <w:sz w:val="2"/>
                <w:szCs w:val="2"/>
                <w:color w:val="auto"/>
              </w:rPr>
            </w:pPr>
          </w:p>
        </w:tc>
        <w:tc>
          <w:tcPr>
            <w:tcW w:w="57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3"/>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4,441,474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Leasehold improvements, furniture &amp; equipment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1,255,080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1,458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320" w:type="dxa"/>
            <w:vAlign w:val="bottom"/>
            <w:shd w:val="clear" w:color="auto" w:fill="CCFFCC"/>
          </w:tcPr>
          <w:p>
            <w:pPr>
              <w:spacing w:after="0"/>
              <w:rPr>
                <w:sz w:val="2"/>
                <w:szCs w:val="2"/>
                <w:color w:val="auto"/>
              </w:rPr>
            </w:pPr>
          </w:p>
        </w:tc>
        <w:tc>
          <w:tcPr>
            <w:tcW w:w="57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3"/>
          </w:tcPr>
          <w:p>
            <w:pPr>
              <w:ind w:left="320"/>
              <w:spacing w:after="0"/>
              <w:rPr>
                <w:sz w:val="20"/>
                <w:szCs w:val="20"/>
                <w:color w:val="auto"/>
              </w:rPr>
            </w:pPr>
            <w:r>
              <w:rPr>
                <w:rFonts w:ascii="Arial" w:cs="Arial" w:eastAsia="Arial" w:hAnsi="Arial"/>
                <w:sz w:val="18"/>
                <w:szCs w:val="18"/>
                <w:color w:val="auto"/>
              </w:rPr>
              <w:t>Total property and equipment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1,253,622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48,229,264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finance costs, net</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609,847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Total other assets</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49,014,111</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320" w:type="dxa"/>
            <w:vAlign w:val="bottom"/>
            <w:shd w:val="clear" w:color="auto" w:fill="CCFFCC"/>
          </w:tcPr>
          <w:p>
            <w:pPr>
              <w:spacing w:after="0"/>
              <w:rPr>
                <w:sz w:val="2"/>
                <w:szCs w:val="2"/>
                <w:color w:val="auto"/>
              </w:rPr>
            </w:pPr>
          </w:p>
        </w:tc>
        <w:tc>
          <w:tcPr>
            <w:tcW w:w="57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54,709,207</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320" w:type="dxa"/>
            <w:vAlign w:val="bottom"/>
            <w:shd w:val="clear" w:color="auto" w:fill="CCFFCC"/>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525,258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137,723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Due to affiliates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Current portion of long term debt</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22,062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320" w:type="dxa"/>
            <w:vAlign w:val="bottom"/>
            <w:shd w:val="clear" w:color="auto" w:fill="CCFFCC"/>
          </w:tcPr>
          <w:p>
            <w:pPr>
              <w:spacing w:after="0"/>
              <w:rPr>
                <w:sz w:val="2"/>
                <w:szCs w:val="2"/>
                <w:color w:val="auto"/>
              </w:rPr>
            </w:pPr>
          </w:p>
        </w:tc>
        <w:tc>
          <w:tcPr>
            <w:tcW w:w="57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687,553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Long Term Liabilities:</w:t>
            </w:r>
          </w:p>
        </w:tc>
        <w:tc>
          <w:tcPr>
            <w:tcW w:w="28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12,282,980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Seller note</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5,598,526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Contingent obligations - due to seller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18,258,995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long term liabilities, less current portion</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1,132,185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shd w:val="clear" w:color="auto" w:fill="CCFFCC"/>
          </w:tcPr>
          <w:p>
            <w:pPr>
              <w:spacing w:after="0"/>
              <w:rPr>
                <w:sz w:val="2"/>
                <w:szCs w:val="2"/>
                <w:color w:val="auto"/>
              </w:rPr>
            </w:pPr>
          </w:p>
        </w:tc>
        <w:tc>
          <w:tcPr>
            <w:tcW w:w="2320" w:type="dxa"/>
            <w:vAlign w:val="bottom"/>
            <w:shd w:val="clear" w:color="auto" w:fill="CCFFCC"/>
          </w:tcPr>
          <w:p>
            <w:pPr>
              <w:spacing w:after="0"/>
              <w:rPr>
                <w:sz w:val="2"/>
                <w:szCs w:val="2"/>
                <w:color w:val="auto"/>
              </w:rPr>
            </w:pPr>
          </w:p>
        </w:tc>
        <w:tc>
          <w:tcPr>
            <w:tcW w:w="57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20"/>
              <w:spacing w:after="0"/>
              <w:rPr>
                <w:sz w:val="20"/>
                <w:szCs w:val="20"/>
                <w:color w:val="auto"/>
              </w:rPr>
            </w:pPr>
            <w:r>
              <w:rPr>
                <w:rFonts w:ascii="Arial" w:cs="Arial" w:eastAsia="Arial" w:hAnsi="Arial"/>
                <w:sz w:val="18"/>
                <w:szCs w:val="18"/>
                <w:color w:val="auto"/>
              </w:rPr>
              <w:t>Total long term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37,272,686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37,960,239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320" w:type="dxa"/>
            <w:vAlign w:val="bottom"/>
            <w:tcBorders>
              <w:top w:val="single" w:sz="8" w:color="CCFFCC"/>
            </w:tcBorders>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Commitments and Contigencies</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Preferred stock, $0.001 par value, 10,000,000 shares authorized, none issued and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3"/>
            <w:shd w:val="clear" w:color="auto" w:fill="CCFFCC"/>
          </w:tcPr>
          <w:p>
            <w:pPr>
              <w:ind w:left="160"/>
              <w:spacing w:after="0" w:line="201" w:lineRule="exact"/>
              <w:rPr>
                <w:sz w:val="20"/>
                <w:szCs w:val="20"/>
                <w:color w:val="auto"/>
              </w:rPr>
            </w:pPr>
            <w:r>
              <w:rPr>
                <w:rFonts w:ascii="Arial" w:cs="Arial" w:eastAsia="Arial" w:hAnsi="Arial"/>
                <w:sz w:val="18"/>
                <w:szCs w:val="18"/>
                <w:color w:val="auto"/>
                <w:w w:val="96"/>
              </w:rPr>
              <w:t>Common stock, $.001 par value, 200,000,000 shares authorized, 5,742,952 and 684,899, shares issued and</w:t>
            </w: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outstanding, respectively</w:t>
            </w:r>
          </w:p>
        </w:tc>
        <w:tc>
          <w:tcPr>
            <w:tcW w:w="2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5,743</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Paid 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18,171,604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(1,428,379)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160"/>
              <w:spacing w:after="0"/>
              <w:rPr>
                <w:sz w:val="20"/>
                <w:szCs w:val="20"/>
                <w:color w:val="auto"/>
              </w:rPr>
            </w:pPr>
            <w:r>
              <w:rPr>
                <w:rFonts w:ascii="Arial" w:cs="Arial" w:eastAsia="Arial" w:hAnsi="Arial"/>
                <w:sz w:val="18"/>
                <w:szCs w:val="18"/>
                <w:color w:val="auto"/>
              </w:rPr>
              <w:t>Subscription receivable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16,748,968</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320" w:type="dxa"/>
            <w:vAlign w:val="bottom"/>
            <w:tcBorders>
              <w:top w:val="single" w:sz="8" w:color="CCFFCC"/>
            </w:tcBorders>
          </w:tcPr>
          <w:p>
            <w:pPr>
              <w:spacing w:after="0"/>
              <w:rPr>
                <w:sz w:val="18"/>
                <w:szCs w:val="18"/>
                <w:color w:val="auto"/>
              </w:rPr>
            </w:pPr>
          </w:p>
        </w:tc>
        <w:tc>
          <w:tcPr>
            <w:tcW w:w="5740" w:type="dxa"/>
            <w:vAlign w:val="bottom"/>
            <w:tcBorders>
              <w:top w:val="single" w:sz="8" w:color="CCFFCC"/>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54,709,207</w:t>
            </w: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Borders>
              <w:top w:val="single" w:sz="8" w:color="CCFFCC"/>
            </w:tcBorders>
          </w:tcPr>
          <w:p>
            <w:pPr>
              <w:spacing w:after="0"/>
              <w:rPr>
                <w:sz w:val="24"/>
                <w:szCs w:val="24"/>
                <w:color w:val="auto"/>
              </w:rPr>
            </w:pPr>
          </w:p>
        </w:tc>
        <w:tc>
          <w:tcPr>
            <w:tcW w:w="2320" w:type="dxa"/>
            <w:vAlign w:val="bottom"/>
            <w:tcBorders>
              <w:top w:val="single" w:sz="8" w:color="CCFFCC"/>
            </w:tcBorders>
          </w:tcPr>
          <w:p>
            <w:pPr>
              <w:spacing w:after="0"/>
              <w:rPr>
                <w:sz w:val="24"/>
                <w:szCs w:val="24"/>
                <w:color w:val="auto"/>
              </w:rPr>
            </w:pPr>
          </w:p>
        </w:tc>
        <w:tc>
          <w:tcPr>
            <w:tcW w:w="5740" w:type="dxa"/>
            <w:vAlign w:val="bottom"/>
            <w:tcBorders>
              <w:top w:val="single" w:sz="8" w:color="CCFFCC"/>
            </w:tcBorders>
          </w:tcPr>
          <w:p>
            <w:pPr>
              <w:jc w:val="center"/>
              <w:spacing w:after="0"/>
              <w:rPr>
                <w:sz w:val="20"/>
                <w:szCs w:val="20"/>
                <w:color w:val="auto"/>
              </w:rPr>
            </w:pPr>
            <w:r>
              <w:rPr>
                <w:rFonts w:ascii="Arial" w:cs="Arial" w:eastAsia="Arial" w:hAnsi="Arial"/>
                <w:sz w:val="18"/>
                <w:szCs w:val="18"/>
                <w:color w:val="auto"/>
                <w:w w:val="89"/>
              </w:rPr>
              <w:t>See Notes to Unaudited Condensed Consolidated Financial Statements</w:t>
            </w:r>
          </w:p>
        </w:tc>
        <w:tc>
          <w:tcPr>
            <w:tcW w:w="280" w:type="dxa"/>
            <w:vAlign w:val="bottom"/>
            <w:tcBorders>
              <w:top w:val="single" w:sz="8" w:color="CCFFC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540" w:type="dxa"/>
            <w:vAlign w:val="bottom"/>
            <w:gridSpan w:val="4"/>
          </w:tcPr>
          <w:p>
            <w:pPr>
              <w:jc w:val="right"/>
              <w:ind w:right="2590"/>
              <w:spacing w:after="0"/>
              <w:rPr>
                <w:sz w:val="20"/>
                <w:szCs w:val="20"/>
                <w:color w:val="auto"/>
              </w:rPr>
            </w:pPr>
            <w:r>
              <w:rPr>
                <w:rFonts w:ascii="Arial" w:cs="Arial" w:eastAsia="Arial" w:hAnsi="Arial"/>
                <w:sz w:val="18"/>
                <w:szCs w:val="18"/>
                <w:color w:val="auto"/>
              </w:rPr>
              <w:t>- 3 -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2010 (date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inception) to</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60" w:type="dxa"/>
            <w:vAlign w:val="bottom"/>
          </w:tcPr>
          <w:p>
            <w:pPr>
              <w:spacing w:after="0"/>
              <w:rPr>
                <w:sz w:val="20"/>
                <w:szCs w:val="20"/>
                <w:color w:val="auto"/>
              </w:rPr>
            </w:pPr>
          </w:p>
        </w:tc>
        <w:tc>
          <w:tcPr>
            <w:tcW w:w="12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Licensing revenue</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47,327</w:t>
            </w:r>
          </w:p>
        </w:tc>
        <w:tc>
          <w:tcPr>
            <w:tcW w:w="1280" w:type="dxa"/>
            <w:vAlign w:val="bottom"/>
            <w:gridSpan w:val="2"/>
            <w:shd w:val="clear" w:color="auto" w:fill="CCFFCC"/>
          </w:tcPr>
          <w:p>
            <w:pPr>
              <w:jc w:val="right"/>
              <w:ind w:right="10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Borders>
              <w:top w:val="single" w:sz="8" w:color="CCFFCC"/>
            </w:tcBorders>
          </w:tcPr>
          <w:p>
            <w:pPr>
              <w:spacing w:after="0"/>
              <w:rPr>
                <w:sz w:val="18"/>
                <w:szCs w:val="18"/>
                <w:color w:val="auto"/>
              </w:rPr>
            </w:pPr>
          </w:p>
        </w:tc>
        <w:tc>
          <w:tcPr>
            <w:tcW w:w="13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Operating &amp; administrative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859,196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&amp; amortization</w:t>
            </w: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2,194</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Acquisition and due diligence costs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620,758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952,048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expenses</w:t>
            </w:r>
          </w:p>
        </w:tc>
        <w:tc>
          <w:tcPr>
            <w:tcW w:w="13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1,482,148</w:t>
            </w:r>
          </w:p>
        </w:tc>
        <w:tc>
          <w:tcPr>
            <w:tcW w:w="1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1,873,066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Borders>
              <w:top w:val="single" w:sz="8" w:color="CCFFCC"/>
            </w:tcBorders>
          </w:tcPr>
          <w:p>
            <w:pPr>
              <w:spacing w:after="0"/>
              <w:rPr>
                <w:sz w:val="18"/>
                <w:szCs w:val="18"/>
                <w:color w:val="auto"/>
              </w:rPr>
            </w:pPr>
          </w:p>
        </w:tc>
        <w:tc>
          <w:tcPr>
            <w:tcW w:w="13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(1,434,821)</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(1,825,738)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(expenses)</w:t>
            </w: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Bargain purchase price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433,256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expenses - debt</w:t>
            </w: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(6,288)</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Other interest and finance charges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other income (expenses)</w:t>
            </w:r>
          </w:p>
        </w:tc>
        <w:tc>
          <w:tcPr>
            <w:tcW w:w="13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419,991</w:t>
            </w:r>
          </w:p>
        </w:tc>
        <w:tc>
          <w:tcPr>
            <w:tcW w:w="1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419,991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Borders>
              <w:top w:val="single" w:sz="8" w:color="CCFFCC"/>
            </w:tcBorders>
          </w:tcPr>
          <w:p>
            <w:pPr>
              <w:spacing w:after="0"/>
              <w:rPr>
                <w:sz w:val="18"/>
                <w:szCs w:val="18"/>
                <w:color w:val="auto"/>
              </w:rPr>
            </w:pPr>
          </w:p>
        </w:tc>
        <w:tc>
          <w:tcPr>
            <w:tcW w:w="13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Net loss before income taxes</w:t>
            </w: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(1,014,830)</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(1,405,747)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Borders>
              <w:top w:val="single" w:sz="8" w:color="CCFFCC"/>
            </w:tcBorders>
          </w:tcPr>
          <w:p>
            <w:pPr>
              <w:spacing w:after="0"/>
              <w:rPr>
                <w:sz w:val="18"/>
                <w:szCs w:val="18"/>
                <w:color w:val="auto"/>
              </w:rPr>
            </w:pPr>
          </w:p>
        </w:tc>
        <w:tc>
          <w:tcPr>
            <w:tcW w:w="13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(1,015,900)</w:t>
            </w:r>
          </w:p>
        </w:tc>
        <w:tc>
          <w:tcPr>
            <w:tcW w:w="1280" w:type="dxa"/>
            <w:vAlign w:val="bottom"/>
            <w:gridSpan w:val="2"/>
            <w:shd w:val="clear" w:color="auto" w:fill="CCFFCC"/>
          </w:tcPr>
          <w:p>
            <w:pPr>
              <w:jc w:val="right"/>
              <w:ind w:right="10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(1,406,992)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Borders>
              <w:top w:val="single" w:sz="8" w:color="CCFFCC"/>
            </w:tcBorders>
          </w:tcPr>
          <w:p>
            <w:pPr>
              <w:spacing w:after="0"/>
              <w:rPr>
                <w:sz w:val="18"/>
                <w:szCs w:val="18"/>
                <w:color w:val="auto"/>
              </w:rPr>
            </w:pPr>
          </w:p>
        </w:tc>
        <w:tc>
          <w:tcPr>
            <w:tcW w:w="130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Basic and Diluted: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998,170</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684,899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790,470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Loss per common share - Basic &amp; Diluted:</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w:t>
            </w:r>
          </w:p>
        </w:tc>
        <w:tc>
          <w:tcPr>
            <w:tcW w:w="1280" w:type="dxa"/>
            <w:vAlign w:val="bottom"/>
            <w:gridSpan w:val="2"/>
            <w:shd w:val="clear" w:color="auto" w:fill="CCFFCC"/>
          </w:tcPr>
          <w:p>
            <w:pPr>
              <w:jc w:val="right"/>
              <w:ind w:right="101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Paid - in</w:t>
            </w:r>
          </w:p>
        </w:tc>
        <w:tc>
          <w:tcPr>
            <w:tcW w:w="8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Subscription</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Receivable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Balances, September 23, 2010 (date of inception)</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5"/>
              </w:rPr>
              <w:t>Common stock issued to Founder on September 23,</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2010 in a private placement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684,899</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Net loss for the period ended December 31, 2010</w:t>
            </w:r>
          </w:p>
        </w:tc>
        <w:tc>
          <w:tcPr>
            <w:tcW w:w="10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(21,387)</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Balances, December 31, 2010</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684,899</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(21,387)</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Repayment of subscription receivable in March and</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June, 2011</w:t>
            </w:r>
          </w:p>
        </w:tc>
        <w:tc>
          <w:tcPr>
            <w:tcW w:w="1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Common stock issued to management on July 19,</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2011 in a private placement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259,789</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186,444 shares of common stock and 1,064 warrants</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issued on September 29, 2011 in connection with</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recapitalization transaction</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186,444</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(150,071)</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(149,885)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47,132 shares issued to former Chairman in</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connection with recapitalization transaction</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47,132</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157,975</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861,000 shares of common stock and 430,500</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warrants to issued in a private placement of</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September 29, 2011</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861,000</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4,304,139</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4,305,000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2,759,000 shares of common stock issued on</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w w:val="97"/>
              </w:rPr>
              <w:t>September 29, 2011 in connection with purchase of</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IM Licensing Business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2,759,000</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9,212,301</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9,215,060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944,688 shares of common stock issued on</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September 29, 2011 for acquisition of Earthbound</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w w:val="95"/>
              </w:rPr>
              <w:t>contract in connection with purchase of IM Licensing</w:t>
            </w: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Business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944,688</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3,154,313</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3,155,258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364,377 warrants issued in connection with Term</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Loan</w:t>
            </w:r>
          </w:p>
        </w:tc>
        <w:tc>
          <w:tcPr>
            <w:tcW w:w="1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1,217,020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1,217,020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Compensation expense in connection with stock</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w w:val="97"/>
              </w:rPr>
              <w:t>options and warrants to directors and management</w:t>
            </w:r>
          </w:p>
        </w:tc>
        <w:tc>
          <w:tcPr>
            <w:tcW w:w="1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589,059</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589,059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Direct costs relating to equity placement, including</w:t>
            </w: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9,800 warrants issued to placement agent</w:t>
            </w:r>
          </w:p>
        </w:tc>
        <w:tc>
          <w:tcPr>
            <w:tcW w:w="1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(313,187)</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(313,187)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w w:val="99"/>
              </w:rPr>
              <w:t>Net loss for the period ended September 30, 2011</w:t>
            </w:r>
          </w:p>
        </w:tc>
        <w:tc>
          <w:tcPr>
            <w:tcW w:w="10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(1,406,992)</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(1,406,992)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Balances, September 30, 2011 (unaudited)</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5,742,952</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5,743</w:t>
            </w:r>
          </w:p>
        </w:tc>
        <w:tc>
          <w:tcPr>
            <w:tcW w:w="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18,171,604</w:t>
            </w:r>
          </w:p>
        </w:tc>
        <w:tc>
          <w:tcPr>
            <w:tcW w:w="1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(1,428,379)</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16,748,968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980" w:type="dxa"/>
            <w:vAlign w:val="bottom"/>
            <w:gridSpan w:val="15"/>
          </w:tcPr>
          <w:p>
            <w:pPr>
              <w:jc w:val="right"/>
              <w:ind w:right="74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color w:val="auto"/>
              </w:rPr>
              <w:t>- 5 -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(1,406,992)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747,035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Amortization of Seller note discount</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contingent obligation discount</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Amortization of other imputed interest</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senior note discount</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Bargain purchase price</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(433,256)</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(47,327)</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(265,687)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504,021</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135,102</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FFCC"/>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Due to affiliates</w:t>
            </w:r>
          </w:p>
        </w:tc>
        <w:tc>
          <w:tcPr>
            <w:tcW w:w="12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2,510</w:t>
            </w:r>
          </w:p>
        </w:tc>
        <w:tc>
          <w:tcPr>
            <w:tcW w:w="200" w:type="dxa"/>
            <w:vAlign w:val="bottom"/>
            <w:tcBorders>
              <w:bottom w:val="single" w:sz="8" w:color="CCFFCC"/>
              <w:right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(755,423)</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right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w w:val="98"/>
              </w:rPr>
              <w:t>Acquisition of Isaac Mizrahi Trademarks &amp; related intangible property and tangible property and equipment</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(10,173,568)</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Restricted cash for security deposit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Payment of assumed obligation of Seller</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Borders>
              <w:right w:val="single" w:sz="8" w:color="CCFFCC"/>
            </w:tcBorders>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Borders>
              <w:right w:val="single" w:sz="8" w:color="CCFFCC"/>
            </w:tcBorders>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(11,848,568)</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right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Proceeds from term loan</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13,500,000</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Proceeds from sale of common stock and warrants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4,305,000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Deferred finance costs</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(610,525)</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Payment of expenses related to equity &amp; recapitalization</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(463,024)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Repayment of subscription receivable.</w:t>
            </w:r>
          </w:p>
        </w:tc>
        <w:tc>
          <w:tcPr>
            <w:tcW w:w="120" w:type="dxa"/>
            <w:vAlign w:val="bottom"/>
            <w:shd w:val="clear" w:color="auto" w:fill="CCFFCC"/>
          </w:tcPr>
          <w:p>
            <w:pPr>
              <w:spacing w:after="0"/>
              <w:rPr>
                <w:sz w:val="19"/>
                <w:szCs w:val="19"/>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shd w:val="clear" w:color="auto" w:fill="CCFFCC"/>
          </w:tcPr>
          <w:p>
            <w:pPr>
              <w:spacing w:after="0"/>
              <w:rPr>
                <w:sz w:val="19"/>
                <w:szCs w:val="19"/>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16,732,451</w:t>
            </w: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increase in cash</w:t>
            </w:r>
          </w:p>
        </w:tc>
        <w:tc>
          <w:tcPr>
            <w:tcW w:w="120" w:type="dxa"/>
            <w:vAlign w:val="bottom"/>
            <w:shd w:val="clear" w:color="auto" w:fill="CCFFCC"/>
          </w:tcPr>
          <w:p>
            <w:pPr>
              <w:spacing w:after="0"/>
              <w:rPr>
                <w:sz w:val="18"/>
                <w:szCs w:val="18"/>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4,128,460</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shd w:val="clear" w:color="auto" w:fill="CCFFCC"/>
          </w:tcPr>
          <w:p>
            <w:pPr>
              <w:spacing w:after="0"/>
              <w:rPr>
                <w:sz w:val="19"/>
                <w:szCs w:val="19"/>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5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end of period</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4,128,460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Subscription receivable issued for common stock,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tcBorders>
              <w:right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w w:val="95"/>
              </w:rPr>
              <w:t>Value of common stock issued to Sellers as partial consideration in the acquisition of Isaac Mizrahi Business</w:t>
            </w:r>
          </w:p>
        </w:tc>
        <w:tc>
          <w:tcPr>
            <w:tcW w:w="120" w:type="dxa"/>
            <w:vAlign w:val="bottom"/>
            <w:shd w:val="clear" w:color="auto" w:fill="CCFFCC"/>
          </w:tcPr>
          <w:p>
            <w:pPr>
              <w:spacing w:after="0"/>
              <w:rPr>
                <w:sz w:val="22"/>
                <w:szCs w:val="22"/>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9,215,060</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60" w:type="dxa"/>
            <w:vAlign w:val="bottom"/>
            <w:tcBorders>
              <w:top w:val="single" w:sz="8" w:color="CCFFCC"/>
            </w:tcBorders>
          </w:tcPr>
          <w:p>
            <w:pPr>
              <w:ind w:left="320"/>
              <w:spacing w:after="0" w:line="195" w:lineRule="exact"/>
              <w:rPr>
                <w:sz w:val="20"/>
                <w:szCs w:val="20"/>
                <w:color w:val="auto"/>
              </w:rPr>
            </w:pPr>
            <w:r>
              <w:rPr>
                <w:rFonts w:ascii="Arial" w:cs="Arial" w:eastAsia="Arial" w:hAnsi="Arial"/>
                <w:sz w:val="18"/>
                <w:szCs w:val="18"/>
                <w:color w:val="auto"/>
                <w:w w:val="99"/>
              </w:rPr>
              <w:t>Value of common stock issued to Earthbound as partial consideration in the acquisition of Isaac Mizrahi</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Business</w:t>
            </w: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3,155,258</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60" w:type="dxa"/>
            <w:vAlign w:val="bottom"/>
            <w:tcBorders>
              <w:right w:val="single" w:sz="8" w:color="CCFFCC"/>
            </w:tcBorders>
            <w:shd w:val="clear" w:color="auto" w:fill="CCFFCC"/>
          </w:tcPr>
          <w:p>
            <w:pPr>
              <w:ind w:left="160"/>
              <w:spacing w:after="0" w:line="195" w:lineRule="exact"/>
              <w:rPr>
                <w:sz w:val="20"/>
                <w:szCs w:val="20"/>
                <w:color w:val="auto"/>
              </w:rPr>
            </w:pPr>
            <w:r>
              <w:rPr>
                <w:rFonts w:ascii="Arial" w:cs="Arial" w:eastAsia="Arial" w:hAnsi="Arial"/>
                <w:sz w:val="18"/>
                <w:szCs w:val="18"/>
                <w:color w:val="auto"/>
                <w:w w:val="91"/>
              </w:rPr>
              <w:t>Issuance of Seller Notes as partial consideration in the acquisition of Isaac Mizrahi Business (net of debt discount -</w:t>
            </w:r>
          </w:p>
        </w:tc>
        <w:tc>
          <w:tcPr>
            <w:tcW w:w="120" w:type="dxa"/>
            <w:vAlign w:val="bottom"/>
            <w:shd w:val="clear" w:color="auto" w:fill="CCFFCC"/>
          </w:tcPr>
          <w:p>
            <w:pPr>
              <w:spacing w:after="0"/>
              <w:rPr>
                <w:sz w:val="16"/>
                <w:szCs w:val="16"/>
                <w:color w:val="auto"/>
              </w:rPr>
            </w:pPr>
          </w:p>
        </w:tc>
        <w:tc>
          <w:tcPr>
            <w:tcW w:w="1160" w:type="dxa"/>
            <w:vAlign w:val="bottom"/>
            <w:shd w:val="clear" w:color="auto" w:fill="CCFFCC"/>
          </w:tcPr>
          <w:p>
            <w:pPr>
              <w:spacing w:after="0"/>
              <w:rPr>
                <w:sz w:val="16"/>
                <w:szCs w:val="16"/>
                <w:color w:val="auto"/>
              </w:rPr>
            </w:pPr>
          </w:p>
        </w:tc>
        <w:tc>
          <w:tcPr>
            <w:tcW w:w="200" w:type="dxa"/>
            <w:vAlign w:val="bottom"/>
            <w:tcBorders>
              <w:righ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560" w:type="dxa"/>
            <w:vAlign w:val="bottom"/>
            <w:tcBorders>
              <w:bottom w:val="single" w:sz="8" w:color="CCFFCC"/>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see Note 4)</w:t>
            </w:r>
          </w:p>
        </w:tc>
        <w:tc>
          <w:tcPr>
            <w:tcW w:w="12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5,595,651</w:t>
            </w:r>
          </w:p>
        </w:tc>
        <w:tc>
          <w:tcPr>
            <w:tcW w:w="200" w:type="dxa"/>
            <w:vAlign w:val="bottom"/>
            <w:tcBorders>
              <w:bottom w:val="single" w:sz="8" w:color="CCFFCC"/>
              <w:right w:val="single" w:sz="8" w:color="CCFFCC"/>
            </w:tcBorders>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Contingent obligations relating to acquisition of Isaac Mizrahi Business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18,258,995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FFCC"/>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Assumed Other Long Term liabilities as partial consideration of the Isaac Mizrahi Business</w:t>
            </w:r>
          </w:p>
        </w:tc>
        <w:tc>
          <w:tcPr>
            <w:tcW w:w="120" w:type="dxa"/>
            <w:vAlign w:val="bottom"/>
            <w:tcBorders>
              <w:bottom w:val="single" w:sz="8" w:color="auto"/>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1,132,167</w:t>
            </w:r>
          </w:p>
        </w:tc>
        <w:tc>
          <w:tcPr>
            <w:tcW w:w="200" w:type="dxa"/>
            <w:vAlign w:val="bottom"/>
            <w:tcBorders>
              <w:bottom w:val="single" w:sz="8" w:color="CCFFCC"/>
              <w:right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Value of equipment and software received from Earthbound</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71,000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Assumed capitalized lease obligation</w:t>
            </w:r>
          </w:p>
        </w:tc>
        <w:tc>
          <w:tcPr>
            <w:tcW w:w="120" w:type="dxa"/>
            <w:vAlign w:val="bottom"/>
            <w:shd w:val="clear" w:color="auto" w:fill="CCFFCC"/>
          </w:tcPr>
          <w:p>
            <w:pPr>
              <w:spacing w:after="0"/>
              <w:rPr>
                <w:sz w:val="21"/>
                <w:szCs w:val="21"/>
                <w:color w:val="auto"/>
              </w:rPr>
            </w:pP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22,080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Cash paid during the period for interest</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122,568</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Unaudited Condensed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Management’s Business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Xcel Brands, Inc (formerly named NetFabric Holdings, Inc.) ("Xcel", “we”, “our” or the "Company") was incorporated under the laws of the State of Delaware on August 31, 1989.</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September 29, 2011, the Company then known as NetFabric Holdings, Inc., XCel Brands, Inc., a privately held Delaware corporation (“Old XCel”), NetFabric Acquisition Corp., a Delaware corporation (“Acquisition Corp.”) and wholly-owned subsidiary of the Company </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and certain stockholders of the Company entered into an Agreement of Merger and Plan of Reorganization (the “Merger Agreement”) pursuant to which Acquisition Corp. was merged with and into Old XCel, with Old XCel surviving as a wholly-owned subsidiary of the Company (the “Merger”). Immediately following the Merger, Old Xcel was merged with and into the Company (the “Short Form Merger”) and the Company changed its name to Xcel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5713730</wp:posOffset>
            </wp:positionH>
            <wp:positionV relativeFrom="paragraph">
              <wp:posOffset>-498475</wp:posOffset>
            </wp:positionV>
            <wp:extent cx="28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Pursuant to the Merger, the Company (through NetFabric Acquisition Corp.) acquired all of the outstanding capital stock of Old XCel in exchange for issuing an aggregate of 944,688 shares of common stock of the Company, par value $0.001 per share (the “Common Stock”) to Old XCel’s stockholders at a ratio of 9,446.88 shares of Common Stock for each share of Old XCel common stock outstanding at the effective time of the Merger. As a result of the Merger and related transactions, Old XCel’s former stockholders and the IM Ready (as defined below) stockholders became the majority stockholders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-38100</wp:posOffset>
            </wp:positionV>
            <wp:extent cx="34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-55245</wp:posOffset>
            </wp:positionV>
            <wp:extent cx="28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in connection with the Merger and related transactions, as more fully described herein, the Company issued (i) 2,759,000 shares of Common Stock to IM Ready-Made, LLC, a New York limited liability company (“IM Ready”), and 944,688 shares of Common Stock to Earthbound, LLC (“Earthbound”), both in satisfaction of Old XCel’s obligations under an asset purchase agreement with IM Ready and (ii) 47,132 shares of Common Stock to Mr. Stephen J. Cole-Hatchard or his designees, a then-current director of the Company for his continued service as a director of the Company following the Merger until new directors were appointed to the board of directors of the Company, which appointments were effective on October 17, 2011 and at which point Mr. Cole-Hatchard resigned from the Company’s board of directors.</w:t>
      </w:r>
    </w:p>
    <w:p>
      <w:pPr>
        <w:spacing w:after="0" w:line="22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September 28, 2011, the Company filed an amendment to its certificate of incorporation and affected a 1 for 520.5479607 reverse stock split such that holders of Common Stock prior to the Merger held a total of 186,444 shares of Common Stock and options and warrants to purchase 1,064 shares of Common Stock immediately prior to the Merger. After giving effect to the Merger, the Offering, the Loan and the transactions related thereto (all as defined and described herein), there were 5,742,952 shares of common stock issued and outstanding as September 29, 2011 (the “Closing Date”). All numbers of shares of Common Stock referenced herein are on a post-split basis.</w:t>
      </w:r>
    </w:p>
    <w:p>
      <w:pPr>
        <w:spacing w:after="0" w:line="21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Additionally, 20,000 of the shares of Common Stock held by Beaufort Ventures, PLC, a principal stockholder of the Company prior to the Merger, are being held in escrow until such time as final determination is made by the Internal Revenue Service of certain Company tax liabilities. As additional consideration for the Merger, the Company paid $125,000 at the closing of the Merger to the then-current counsel to the Company in order to extinguish certain remaining liabilities of the Company immediately preceding the Merger.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Selected Significant Accounting Policies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interim consolidated financial statements have been prepared pursuant to the rules and regulations of the Securities and Exchange Commission (“SEC”), except for the condensed consolidated balance sheet as of December 31, 2010, which was derived from audited financial statements of Old Xcel. Certain information and footnote disclosures normally included in financial statements prepared in accordance with generally accepted accounting principles in the United States of America have been omitted pursuant to such rules and regulations. However the Company believes that the disclosures are adequate to make the information presented not misleading. The financial statements reflect all adjustments (consisting only of normal recurring adjustments) that are, in the opinion of management, necessary for a fair presentation of the Company's financial position and results of operations.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financial accounting purposes, the acquisition of Xcel Brands, Inc. was a reverse acquisition of the Company by Xcel Brands, Inc., under the acquisition method of accounting, and was treated as a recapitalization with Xcel as the acquirer. Accordingly, the historical financial data reflect the operations and accumulated deficit of Xcel from inception, and the results of operations of IM Licensing Business from the acquisition date (September 29, 2011) through September 30, 2011.</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has determined that Old Xcel is the acquiring accounting entity of IM Licensing Business (as discussed in the previous paragraph), and considered in its decision the exchanged property and equity of the merged parties. Furthermore, management factored in its decision the relative voting rights control, minority voting rights control and concurrent management of the Company. There is no equity group from within the merged parties with full control. IM Ready received no voting rights with its issued equity in the merger. Old Xcel stockholders have a significant minority voting block. In addition, Old Xcel’s management represents the majority of the current management of the Company.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for the three and nine months ended September 30, 2011, and period from September 23, 2010 (Old Xcel’s inception) to September 30, 2010, are not necessarily indicative of the results to be expected for any other interim period or any future year. The accompanying unaudited condensed consolidated financial statements should be read in conjunction with the Company's December 31, 2010 consolidated financial statements, including the notes thereto, which are included in the Company's 8-K filed on October 4,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financial statements have been prepared in conformity with accounting principles generally accepted in the United States. In preparing the financial statements, management is required to make estimates and assumptions that affect the reported amounts of assets and liabilities as of the date of the statements of financial condition and revenues and expenses for the period then ended. Actual results may differ significantly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reported in the balance sheet for cash and accounts payable and accrued expenses approximate their fair market value based on the short-term maturity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Leasehold improvements, Furniture &amp; Equipment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Furniture and equipment are recorded at cost and depreciated using the straight-line method over their estimated useful lives, generally 3 to 7 years. Leasehold improvements are amortized over the shorter of their estimated useful lives or the terms of the leases. Betterments and improvements are capitalized while repairs and maintenance are expensed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Trademarks and Other Intangible Assets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represents the excess of cost over the fair value of net assets of businesses acquired. The Company accounts for goodwill under the guidance of the ASC Topic 350 – “Intangibles: Goodwill and Other”. Goodwill and other intangible assets acquired in a purchase business combination and determined to have an indefinite useful life are not amortized, but instead tested for impairment, at least annually, in accordance with this guidance. This guidance also requires that intangible assets with estimable useful lives be amortized over their respective estimated useful lives to their estimated residual values, and reviewed for impairment in accordance with ASC Topic 360 – “Property, Plant and Equipment”.</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guidance of ASC Topic 350, long-lived assets, such as property and equipment and purchased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Finance Costs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incurred in connection with debt offerings are deferred and amortized as interest expense over the term of the related debt using the effective interest method. The amortization expense is included in interest expense in the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stock-based compensation in accordance with ASC Topic 718 by recognizing the fair value of stock-based compensation in the consolidated statement of operations. The fair value of the Company’s stock option awards are estimated using a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vesting period of the award. For stock-based awards that vest based on performance conditions (e.g. achievement of certain milestones), expense is recognized when it is probable that the condition will be met.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includes no dilution and is computed by dividing net income (or loss) available to common stockholders by the weighted average number of common shares outstanding for the period. Diluted earnings per share reflect, in periods in which they have a dilutive effect, the effect of common shares issuable upon exercise of stock options and warrants. The difference between basic and diluted weighted-average common shares results from the assumption that all dilutive stock options outstanding were exercised.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2011, of the total potentially dilutive shares related to stock options and warrants, 748,550 were anti-dilutive, compared to 0 as of September 30,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 Earn-out treatment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will analyze and quantify the expected earn-out payments over the applicable pay-out period. This amount would be recorded as an obligation, discounted by the Company’s estimated borrowing rate and will record the difference as imputed interest expense in each period subsequent to the expected payment. Management will assess no less frequent each reporting period the status of contingent obligations. Any change in the expected obligation will result in an expense or income in the period in which it is determined fair market value of the carrying value has changed.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ectPr>
          <w:pgSz w:w="11900" w:h="16902" w:orient="portrait"/>
          <w:cols w:equalWidth="0" w:num="1">
            <w:col w:w="11420"/>
          </w:cols>
          <w:pgMar w:left="240" w:top="611"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3. Trademarks and Other Intangibles,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w w:val="99"/>
              </w:rPr>
              <w:t>Trademarks and other intangibles, net consist of the following:</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September 30, 2011</w:t>
            </w: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December 31, 2010</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1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Estimated</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Lives in</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Years</w:t>
            </w: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Indefinite life trademarks and copyrights</w:t>
            </w:r>
          </w:p>
        </w:tc>
        <w:tc>
          <w:tcPr>
            <w:tcW w:w="1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Indefinite</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47,700,000</w:t>
            </w:r>
          </w:p>
        </w:tc>
        <w:tc>
          <w:tcPr>
            <w:tcW w:w="840" w:type="dxa"/>
            <w:vAlign w:val="bottom"/>
            <w:gridSpan w:val="2"/>
            <w:shd w:val="clear" w:color="auto" w:fill="CCFFCC"/>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89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Licensing agreements</w:t>
            </w:r>
          </w:p>
        </w:tc>
        <w:tc>
          <w:tcPr>
            <w:tcW w:w="1040" w:type="dxa"/>
            <w:vAlign w:val="bottom"/>
          </w:tcPr>
          <w:p>
            <w:pPr>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48,230,000</w:t>
            </w:r>
          </w:p>
        </w:tc>
        <w:tc>
          <w:tcPr>
            <w:tcW w:w="840" w:type="dxa"/>
            <w:vAlign w:val="bottom"/>
            <w:gridSpan w:val="2"/>
            <w:shd w:val="clear" w:color="auto" w:fill="CCFFCC"/>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736</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89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amortization expense for Licensing Agreements over the remaining useful life: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20" w:type="dxa"/>
            <w:vAlign w:val="bottom"/>
          </w:tcPr>
          <w:p>
            <w:pPr>
              <w:spacing w:after="0"/>
              <w:rPr>
                <w:sz w:val="20"/>
                <w:szCs w:val="20"/>
                <w:color w:val="auto"/>
              </w:rPr>
            </w:pPr>
          </w:p>
        </w:tc>
        <w:tc>
          <w:tcPr>
            <w:tcW w:w="7300" w:type="dxa"/>
            <w:vAlign w:val="bottom"/>
            <w:tcBorders>
              <w:bottom w:val="single" w:sz="8" w:color="auto"/>
            </w:tcBorders>
          </w:tcPr>
          <w:p>
            <w:pPr>
              <w:ind w:left="3160"/>
              <w:spacing w:after="0"/>
              <w:rPr>
                <w:sz w:val="20"/>
                <w:szCs w:val="20"/>
                <w:color w:val="auto"/>
              </w:rPr>
            </w:pPr>
            <w:r>
              <w:rPr>
                <w:rFonts w:ascii="Arial" w:cs="Arial" w:eastAsia="Arial" w:hAnsi="Arial"/>
                <w:sz w:val="18"/>
                <w:szCs w:val="18"/>
                <w:b w:val="1"/>
                <w:bCs w:val="1"/>
                <w:color w:val="auto"/>
              </w:rPr>
              <w:t>Year Ending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Expense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44,900</w:t>
            </w:r>
          </w:p>
        </w:tc>
        <w:tc>
          <w:tcPr>
            <w:tcW w:w="44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44,900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December 31, 2012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530,000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177,400</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530,000</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132,500</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309,900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530,000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442,400</w:t>
            </w: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530,000</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87,600</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530,000</w:t>
            </w:r>
          </w:p>
        </w:tc>
      </w:tr>
    </w:tbl>
    <w:p>
      <w:pPr>
        <w:spacing w:after="0" w:line="22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On September 29</w:t>
      </w:r>
      <w:r>
        <w:rPr>
          <w:rFonts w:ascii="Arial" w:cs="Arial" w:eastAsia="Arial" w:hAnsi="Arial"/>
          <w:sz w:val="25"/>
          <w:szCs w:val="25"/>
          <w:color w:val="auto"/>
          <w:vertAlign w:val="superscript"/>
        </w:rPr>
        <w:t>th</w:t>
      </w:r>
      <w:r>
        <w:rPr>
          <w:rFonts w:ascii="Arial" w:cs="Arial" w:eastAsia="Arial" w:hAnsi="Arial"/>
          <w:sz w:val="18"/>
          <w:szCs w:val="18"/>
          <w:color w:val="auto"/>
        </w:rPr>
        <w:t>, 2011, the Company completed a transaction in which it acquired substantially all of the licensing rights to the Isaac Mizrahi brands and trademarks from IM Ready-Made, LLC. See Note 5, Acquisition of the Isaac Mizrahi Business for further details of this transaction.</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for the Current Quarter and the period from September 23, 2010 and ending September 30, 2011 (“Inception Period”) was $736 and $0, respectively, and $736 and $0 for the Current Nine Months and Inception Period, respectively. The trademarks of Isaac Mizrahi have been determined to have an indefinite useful life and accordingly, consistent with ASC Topic 350, no amortization has been recorded in the Company's unaudited condensed consolidated income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4. Debt</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Term Debt</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12,282,980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Seller Note</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5,598,526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Installment obligation</w:t>
            </w:r>
          </w:p>
        </w:tc>
        <w:tc>
          <w:tcPr>
            <w:tcW w:w="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1,132,167</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Contingent obligation – due to seller</w:t>
            </w:r>
          </w:p>
        </w:tc>
        <w:tc>
          <w:tcPr>
            <w:tcW w:w="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18,258,995</w:t>
            </w: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37,294,748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portion</w:t>
            </w:r>
          </w:p>
        </w:tc>
        <w:tc>
          <w:tcPr>
            <w:tcW w:w="8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22,062</w:t>
            </w:r>
          </w:p>
        </w:tc>
        <w:tc>
          <w:tcPr>
            <w:tcW w:w="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37,272,686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29, 2011, IM Brands, LLC, a wholly owned subsidiary of the Company (‘IM Brands”), entered into a five year senior secured facility (the “Loan”) with Midmarket Capital Partners, LLC (“MidMarket”) in the aggregate principal amount of $13,500,000. The Loan is secured by all of the assets and membership interests of IM Brands, and is be guaranteed by the Company. The Company paid a closing fee of $405,000 to MidMarket, which was equal to 3% of the committed amount.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principal amount of the Loan is payable as follows: 0% until January 5, 2013, 2.5% on January 5, 2013 through October 5, 2013,; 3.75% on January 5, 2014 through October 5, 2014; 6.25% on January 5, 2015 through October 5, 2015; 12.5% on January 5, 2016 through the maturity date, which is the date that is 5 years after the closing 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Annual principal obligations are as follows:</w:t>
            </w:r>
          </w:p>
        </w:tc>
        <w:tc>
          <w:tcPr>
            <w:tcW w:w="1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Year Ending December 31,</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1,350,000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FFCC"/>
          </w:tcPr>
          <w:p>
            <w:pPr>
              <w:spacing w:after="0"/>
              <w:rPr>
                <w:sz w:val="18"/>
                <w:szCs w:val="18"/>
                <w:color w:val="auto"/>
              </w:rPr>
            </w:pPr>
          </w:p>
        </w:tc>
        <w:tc>
          <w:tcPr>
            <w:tcW w:w="2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2,025,000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3,375,000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FFCC"/>
          </w:tcPr>
          <w:p>
            <w:pPr>
              <w:spacing w:after="0"/>
              <w:rPr>
                <w:sz w:val="18"/>
                <w:szCs w:val="18"/>
                <w:color w:val="auto"/>
              </w:rPr>
            </w:pPr>
          </w:p>
        </w:tc>
        <w:tc>
          <w:tcPr>
            <w:tcW w:w="2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6,750,000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13,500,000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jc w:val="right"/>
              <w:ind w:right="790"/>
              <w:spacing w:after="0"/>
              <w:rPr>
                <w:sz w:val="20"/>
                <w:szCs w:val="20"/>
                <w:color w:val="auto"/>
              </w:rPr>
            </w:pPr>
            <w:r>
              <w:rPr>
                <w:rFonts w:ascii="Arial" w:cs="Arial" w:eastAsia="Arial" w:hAnsi="Arial"/>
                <w:sz w:val="18"/>
                <w:szCs w:val="18"/>
                <w:color w:val="auto"/>
              </w:rPr>
              <w:t>- 9 -</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interest rate on the loan is a fixed rate of 8.5%, payable in cash.</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IM Brands may prepay the Loan in whole or in part in increments of $500,000, provided that IM Brands pay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w:t>
      </w:r>
    </w:p>
    <w:p>
      <w:pPr>
        <w:spacing w:after="0" w:line="197"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8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Applicable Premium</w:t>
            </w:r>
          </w:p>
        </w:tc>
        <w:tc>
          <w:tcPr>
            <w:tcW w:w="200" w:type="dxa"/>
            <w:vAlign w:val="bottom"/>
          </w:tcPr>
          <w:p>
            <w:pPr>
              <w:spacing w:after="0"/>
              <w:rPr>
                <w:sz w:val="20"/>
                <w:szCs w:val="20"/>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First year following the Closing</w:t>
            </w:r>
          </w:p>
        </w:tc>
        <w:tc>
          <w:tcPr>
            <w:tcW w:w="2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Second year following the Closing</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Third year following the Closing</w:t>
            </w:r>
          </w:p>
        </w:tc>
        <w:tc>
          <w:tcPr>
            <w:tcW w:w="2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Fourth year following the Closing</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Mandatory Prepayments. </w:t>
      </w:r>
      <w:r>
        <w:rPr>
          <w:rFonts w:ascii="Arial" w:cs="Arial" w:eastAsia="Arial" w:hAnsi="Arial"/>
          <w:sz w:val="16"/>
          <w:szCs w:val="16"/>
          <w:color w:val="auto"/>
        </w:rPr>
        <w:t>IM Brands is required to prepay the Loan under the following conditions: (1) if certain indebtedness is incurred by the Company;</w:t>
      </w:r>
    </w:p>
    <w:p>
      <w:pPr>
        <w:spacing w:after="0" w:line="46" w:lineRule="exact"/>
        <w:rPr>
          <w:sz w:val="20"/>
          <w:szCs w:val="20"/>
          <w:color w:val="auto"/>
        </w:rPr>
      </w:pPr>
    </w:p>
    <w:p>
      <w:pPr>
        <w:ind w:firstLine="8"/>
        <w:spacing w:after="0" w:line="261"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Excess Cash Flow Sweep. </w:t>
      </w:r>
      <w:r>
        <w:rPr>
          <w:rFonts w:ascii="Arial" w:cs="Arial" w:eastAsia="Arial" w:hAnsi="Arial"/>
          <w:sz w:val="17"/>
          <w:szCs w:val="17"/>
          <w:color w:val="auto"/>
        </w:rPr>
        <w:t>In addition to the Mandatory Prepayments described above, if for any fiscal year ending on or subsequent to December 31, 2012,</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required to be maintained by IM Brands and (y) $3,000,000.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Lender Warrants. </w:t>
      </w:r>
      <w:r>
        <w:rPr>
          <w:rFonts w:ascii="Arial" w:cs="Arial" w:eastAsia="Arial" w:hAnsi="Arial"/>
          <w:sz w:val="18"/>
          <w:szCs w:val="18"/>
          <w:color w:val="auto"/>
        </w:rPr>
        <w:t>At the closing of the Loan, the Company issued to MidMarket seven year warrants (the “Lender Warrants”) to purchase 364,428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Common Stock, representing 5% of the Common Stock outstanding as of the Closing Date on a fully diluted basis. The warrants have an exercise price of $0.01 and contain a cashless exercise provision. The Company granted to the holders of the Lender Warrants piggy-back registration rights with respect to the shares of Common Stock issuable upon exercise of the Lender Warrants. The carrying value of the Term Loan has been reduced by the market value of the warrants. The Company used the black scholes method to determine valuation. Because the exercise price was $0.01 per share, the value is equal to $3.34 (“Effective Share Purchase Price”) less the exercise price multiplied by the number of Warrants. The Term Loan balance as of September 30, 2011 is $12,282,980.</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So long as the Loan remains unpaid or unsatisfied, IM Brands shall not, and shall not permit any of its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Permit Excess Liquidity to be less than the amount set forth below during each applicable period set forth below:</w:t>
      </w:r>
    </w:p>
    <w:p>
      <w:pPr>
        <w:spacing w:after="0" w:line="252" w:lineRule="exact"/>
        <w:rPr>
          <w:sz w:val="20"/>
          <w:szCs w:val="20"/>
          <w:color w:val="auto"/>
        </w:rPr>
      </w:pPr>
    </w:p>
    <w:tbl>
      <w:tblPr>
        <w:tblLayout w:type="fixed"/>
        <w:tblInd w:w="2000" w:type="dxa"/>
        <w:tblCellMar>
          <w:top w:w="0" w:type="dxa"/>
          <w:left w:w="0" w:type="dxa"/>
          <w:bottom w:w="0" w:type="dxa"/>
          <w:right w:w="0" w:type="dxa"/>
        </w:tblCellMar>
      </w:tblPr>
      <w:tr>
        <w:trPr>
          <w:trHeight w:val="237"/>
        </w:trPr>
        <w:tc>
          <w:tcPr>
            <w:tcW w:w="566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rPr>
              <w:t>Excess Liquidity</w:t>
            </w: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29, 2011 through December 31, 2011</w:t>
            </w:r>
          </w:p>
        </w:tc>
        <w:tc>
          <w:tcPr>
            <w:tcW w:w="10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January 1, 2012 through March 31, 2012</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1,750,000</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April 1, 2012 through June 30, 2012</w:t>
            </w:r>
          </w:p>
        </w:tc>
        <w:tc>
          <w:tcPr>
            <w:tcW w:w="5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2,250,000</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July 1, 2012 through September 30, 2012</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2,750,000</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October 1, 2012 through June 30, 2013</w:t>
            </w:r>
          </w:p>
        </w:tc>
        <w:tc>
          <w:tcPr>
            <w:tcW w:w="5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July 1, 2013 through September 30, 2013</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3,250,000</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October 1, 2013 through March 31, 2014</w:t>
            </w:r>
          </w:p>
        </w:tc>
        <w:tc>
          <w:tcPr>
            <w:tcW w:w="5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3,500,000</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April 1, 2014 through June 30, 2014</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July 1, 2014 and thereafter</w:t>
            </w:r>
          </w:p>
        </w:tc>
        <w:tc>
          <w:tcPr>
            <w:tcW w:w="5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4,000,000</w:t>
            </w:r>
          </w:p>
        </w:tc>
      </w:tr>
    </w:tbl>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Permit the aggregate amount of Capital Expenditures to exceed $400,000 (whether or not financed) per year.</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Permit the Consolidated Fixed Charge Coverage Ratio as of the end of each of the fiscal quarters ending on the dates (or for the periods) set forth for the period of four fiscal quarters ending on such dates (or for the periods) below to be less than the ratio set forth below opposite such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Minimum Fixed Charge</w:t>
            </w:r>
          </w:p>
        </w:tc>
        <w:tc>
          <w:tcPr>
            <w:tcW w:w="2000" w:type="dxa"/>
            <w:vAlign w:val="bottom"/>
          </w:tcPr>
          <w:p>
            <w:pPr>
              <w:spacing w:after="0"/>
              <w:rPr>
                <w:sz w:val="18"/>
                <w:szCs w:val="18"/>
                <w:color w:val="auto"/>
              </w:rPr>
            </w:pPr>
          </w:p>
        </w:tc>
      </w:tr>
      <w:tr>
        <w:trPr>
          <w:trHeight w:val="237"/>
        </w:trPr>
        <w:tc>
          <w:tcPr>
            <w:tcW w:w="7160" w:type="dxa"/>
            <w:vAlign w:val="bottom"/>
            <w:gridSpan w:val="2"/>
          </w:tcPr>
          <w:p>
            <w:pPr>
              <w:ind w:left="2000"/>
              <w:spacing w:after="0"/>
              <w:rPr>
                <w:sz w:val="20"/>
                <w:szCs w:val="20"/>
                <w:color w:val="auto"/>
              </w:rPr>
            </w:pPr>
            <w:r>
              <w:rPr>
                <w:rFonts w:ascii="Arial" w:cs="Arial" w:eastAsia="Arial" w:hAnsi="Arial"/>
                <w:sz w:val="18"/>
                <w:szCs w:val="18"/>
                <w:color w:val="auto"/>
              </w:rPr>
              <w:t>Trailing Four Fiscal Quarters Ending</w:t>
            </w: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Coverage Ratio</w:t>
            </w:r>
          </w:p>
        </w:tc>
        <w:tc>
          <w:tcPr>
            <w:tcW w:w="2000" w:type="dxa"/>
            <w:vAlign w:val="bottom"/>
          </w:tcPr>
          <w:p>
            <w:pPr>
              <w:spacing w:after="0"/>
              <w:rPr>
                <w:sz w:val="20"/>
                <w:szCs w:val="20"/>
                <w:color w:val="auto"/>
              </w:rPr>
            </w:pPr>
          </w:p>
        </w:tc>
      </w:tr>
      <w:tr>
        <w:trPr>
          <w:trHeight w:val="216"/>
        </w:trPr>
        <w:tc>
          <w:tcPr>
            <w:tcW w:w="2000" w:type="dxa"/>
            <w:vAlign w:val="bottom"/>
          </w:tcPr>
          <w:p>
            <w:pPr>
              <w:spacing w:after="0"/>
              <w:rPr>
                <w:sz w:val="18"/>
                <w:szCs w:val="18"/>
                <w:color w:val="auto"/>
              </w:rPr>
            </w:pPr>
          </w:p>
        </w:tc>
        <w:tc>
          <w:tcPr>
            <w:tcW w:w="51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80" w:type="dxa"/>
            <w:vAlign w:val="bottom"/>
            <w:shd w:val="clear" w:color="auto" w:fill="CCFFCC"/>
          </w:tcPr>
          <w:p>
            <w:pPr>
              <w:spacing w:after="0"/>
              <w:rPr>
                <w:sz w:val="18"/>
                <w:szCs w:val="18"/>
                <w:color w:val="auto"/>
              </w:rPr>
            </w:pPr>
          </w:p>
        </w:tc>
        <w:tc>
          <w:tcPr>
            <w:tcW w:w="20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1.90 to 1.00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March 31, 2013 and June 30, 2013</w:t>
            </w:r>
          </w:p>
        </w:tc>
        <w:tc>
          <w:tcPr>
            <w:tcW w:w="1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1.60 to 1.00</w:t>
            </w:r>
          </w:p>
        </w:tc>
        <w:tc>
          <w:tcPr>
            <w:tcW w:w="2000" w:type="dxa"/>
            <w:vAlign w:val="bottom"/>
          </w:tcPr>
          <w:p>
            <w:pPr>
              <w:spacing w:after="0"/>
              <w:rPr>
                <w:sz w:val="18"/>
                <w:szCs w:val="18"/>
                <w:color w:val="auto"/>
              </w:rPr>
            </w:pPr>
          </w:p>
        </w:tc>
      </w:tr>
      <w:tr>
        <w:trPr>
          <w:trHeight w:val="202"/>
        </w:trPr>
        <w:tc>
          <w:tcPr>
            <w:tcW w:w="2000" w:type="dxa"/>
            <w:vAlign w:val="bottom"/>
          </w:tcPr>
          <w:p>
            <w:pPr>
              <w:spacing w:after="0"/>
              <w:rPr>
                <w:sz w:val="17"/>
                <w:szCs w:val="17"/>
                <w:color w:val="auto"/>
              </w:rPr>
            </w:pPr>
          </w:p>
        </w:tc>
        <w:tc>
          <w:tcPr>
            <w:tcW w:w="5160" w:type="dxa"/>
            <w:vAlign w:val="bottom"/>
            <w:shd w:val="clear" w:color="auto" w:fill="CCFFCC"/>
          </w:tcPr>
          <w:p>
            <w:pPr>
              <w:ind w:left="80"/>
              <w:spacing w:after="0" w:line="201" w:lineRule="exact"/>
              <w:rPr>
                <w:sz w:val="20"/>
                <w:szCs w:val="20"/>
                <w:color w:val="auto"/>
              </w:rPr>
            </w:pPr>
            <w:r>
              <w:rPr>
                <w:rFonts w:ascii="Arial" w:cs="Arial" w:eastAsia="Arial" w:hAnsi="Arial"/>
                <w:sz w:val="18"/>
                <w:szCs w:val="18"/>
                <w:color w:val="auto"/>
                <w:w w:val="92"/>
              </w:rPr>
              <w:t>September 30, 2013, December 31, 2013, March 31, 2014, June 30,</w:t>
            </w:r>
          </w:p>
        </w:tc>
        <w:tc>
          <w:tcPr>
            <w:tcW w:w="180" w:type="dxa"/>
            <w:vAlign w:val="bottom"/>
            <w:shd w:val="clear" w:color="auto" w:fill="CCFFCC"/>
          </w:tcPr>
          <w:p>
            <w:pPr>
              <w:spacing w:after="0"/>
              <w:rPr>
                <w:sz w:val="17"/>
                <w:szCs w:val="17"/>
                <w:color w:val="auto"/>
              </w:rPr>
            </w:pPr>
          </w:p>
        </w:tc>
        <w:tc>
          <w:tcPr>
            <w:tcW w:w="20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1.50 to 1.00</w:t>
            </w:r>
          </w:p>
        </w:tc>
        <w:tc>
          <w:tcPr>
            <w:tcW w:w="2000" w:type="dxa"/>
            <w:vAlign w:val="bottom"/>
          </w:tcPr>
          <w:p>
            <w:pPr>
              <w:spacing w:after="0"/>
              <w:rPr>
                <w:sz w:val="17"/>
                <w:szCs w:val="17"/>
                <w:color w:val="auto"/>
              </w:rPr>
            </w:pPr>
          </w:p>
        </w:tc>
      </w:tr>
      <w:tr>
        <w:trPr>
          <w:trHeight w:val="230"/>
        </w:trPr>
        <w:tc>
          <w:tcPr>
            <w:tcW w:w="2000" w:type="dxa"/>
            <w:vAlign w:val="bottom"/>
          </w:tcPr>
          <w:p>
            <w:pPr>
              <w:spacing w:after="0"/>
              <w:rPr>
                <w:sz w:val="20"/>
                <w:szCs w:val="20"/>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2014 and September 30, 2014</w:t>
            </w:r>
          </w:p>
        </w:tc>
        <w:tc>
          <w:tcPr>
            <w:tcW w:w="180" w:type="dxa"/>
            <w:vAlign w:val="bottom"/>
            <w:shd w:val="clear" w:color="auto" w:fill="CCFFCC"/>
          </w:tcPr>
          <w:p>
            <w:pPr>
              <w:spacing w:after="0"/>
              <w:rPr>
                <w:sz w:val="20"/>
                <w:szCs w:val="20"/>
                <w:color w:val="auto"/>
              </w:rPr>
            </w:pPr>
          </w:p>
        </w:tc>
        <w:tc>
          <w:tcPr>
            <w:tcW w:w="2080" w:type="dxa"/>
            <w:vAlign w:val="bottom"/>
            <w:shd w:val="clear" w:color="auto" w:fill="CCFFCC"/>
          </w:tcPr>
          <w:p>
            <w:pPr>
              <w:spacing w:after="0"/>
              <w:rPr>
                <w:sz w:val="20"/>
                <w:szCs w:val="20"/>
                <w:color w:val="auto"/>
              </w:rPr>
            </w:pPr>
          </w:p>
        </w:tc>
        <w:tc>
          <w:tcPr>
            <w:tcW w:w="2000" w:type="dxa"/>
            <w:vAlign w:val="bottom"/>
          </w:tcPr>
          <w:p>
            <w:pPr>
              <w:spacing w:after="0"/>
              <w:rPr>
                <w:sz w:val="20"/>
                <w:szCs w:val="20"/>
                <w:color w:val="auto"/>
              </w:rPr>
            </w:pPr>
          </w:p>
        </w:tc>
      </w:tr>
      <w:tr>
        <w:trPr>
          <w:trHeight w:val="216"/>
        </w:trPr>
        <w:tc>
          <w:tcPr>
            <w:tcW w:w="20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December 31, 2014 and March 31, 2015</w:t>
            </w:r>
          </w:p>
        </w:tc>
        <w:tc>
          <w:tcPr>
            <w:tcW w:w="1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1.30 to 1.00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June 30, 2015 and thereafter</w:t>
            </w:r>
          </w:p>
        </w:tc>
        <w:tc>
          <w:tcPr>
            <w:tcW w:w="180" w:type="dxa"/>
            <w:vAlign w:val="bottom"/>
            <w:shd w:val="clear" w:color="auto" w:fill="CCFFCC"/>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1.15 to 1.00</w:t>
            </w:r>
          </w:p>
        </w:tc>
        <w:tc>
          <w:tcPr>
            <w:tcW w:w="2000" w:type="dxa"/>
            <w:vAlign w:val="bottom"/>
          </w:tcPr>
          <w:p>
            <w:pPr>
              <w:spacing w:after="0"/>
              <w:rPr>
                <w:sz w:val="18"/>
                <w:szCs w:val="18"/>
                <w:color w:val="auto"/>
              </w:rPr>
            </w:pPr>
          </w:p>
        </w:tc>
      </w:tr>
      <w:tr>
        <w:trPr>
          <w:trHeight w:val="608"/>
        </w:trPr>
        <w:tc>
          <w:tcPr>
            <w:tcW w:w="7160" w:type="dxa"/>
            <w:vAlign w:val="bottom"/>
            <w:gridSpan w:val="2"/>
          </w:tcPr>
          <w:p>
            <w:pPr>
              <w:jc w:val="right"/>
              <w:ind w:right="1170"/>
              <w:spacing w:after="0"/>
              <w:rPr>
                <w:sz w:val="20"/>
                <w:szCs w:val="20"/>
                <w:color w:val="auto"/>
              </w:rPr>
            </w:pPr>
            <w:r>
              <w:rPr>
                <w:rFonts w:ascii="Arial" w:cs="Arial" w:eastAsia="Arial" w:hAnsi="Arial"/>
                <w:sz w:val="18"/>
                <w:szCs w:val="18"/>
                <w:color w:val="auto"/>
              </w:rPr>
              <w:t>- 10 -</w:t>
            </w: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8"/>
        </w:trPr>
        <w:tc>
          <w:tcPr>
            <w:tcW w:w="2000" w:type="dxa"/>
            <w:vAlign w:val="bottom"/>
            <w:tcBorders>
              <w:bottom w:val="single" w:sz="8" w:color="808080"/>
            </w:tcBorders>
          </w:tcPr>
          <w:p>
            <w:pPr>
              <w:spacing w:after="0"/>
              <w:rPr>
                <w:sz w:val="10"/>
                <w:szCs w:val="10"/>
                <w:color w:val="auto"/>
              </w:rPr>
            </w:pPr>
          </w:p>
        </w:tc>
        <w:tc>
          <w:tcPr>
            <w:tcW w:w="5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Permit the Consolidated Total Leverage Ratio as of the end of each of the fiscal quarters ending on the dates (or for the periods) set forth for the period of four fiscal quarters ending on such dates (or for the periods) below to be greater than the ratio set forth below opposite such period:</w:t>
      </w:r>
    </w:p>
    <w:p>
      <w:pPr>
        <w:spacing w:after="0" w:line="20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Consolidated</w:t>
            </w:r>
          </w:p>
        </w:tc>
      </w:tr>
      <w:tr>
        <w:trPr>
          <w:trHeight w:val="237"/>
        </w:trPr>
        <w:tc>
          <w:tcPr>
            <w:tcW w:w="566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Leverage Ratio</w:t>
            </w: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200" w:type="dxa"/>
            <w:vAlign w:val="bottom"/>
            <w:shd w:val="clear" w:color="auto" w:fill="CCFFCC"/>
          </w:tcPr>
          <w:p>
            <w:pPr>
              <w:spacing w:after="0"/>
              <w:rPr>
                <w:sz w:val="18"/>
                <w:szCs w:val="18"/>
                <w:color w:val="auto"/>
              </w:rPr>
            </w:pPr>
          </w:p>
        </w:tc>
        <w:tc>
          <w:tcPr>
            <w:tcW w:w="15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3.50 to 1.00</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March 31, 2013</w:t>
            </w:r>
          </w:p>
        </w:tc>
        <w:tc>
          <w:tcPr>
            <w:tcW w:w="2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3.30 to 1.00</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June 30, 2013 and September 30, 2013</w:t>
            </w:r>
          </w:p>
        </w:tc>
        <w:tc>
          <w:tcPr>
            <w:tcW w:w="20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20"/>
                <w:szCs w:val="20"/>
                <w:color w:val="auto"/>
              </w:rPr>
            </w:pPr>
            <w:r>
              <w:rPr>
                <w:rFonts w:ascii="Arial" w:cs="Arial" w:eastAsia="Arial" w:hAnsi="Arial"/>
                <w:sz w:val="18"/>
                <w:szCs w:val="18"/>
                <w:color w:val="auto"/>
              </w:rPr>
              <w:t>3.00 to 1.00</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December 31, 2013</w:t>
            </w:r>
          </w:p>
        </w:tc>
        <w:tc>
          <w:tcPr>
            <w:tcW w:w="2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2.75 to 1.00</w:t>
            </w: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March 31, 2014</w:t>
            </w:r>
          </w:p>
        </w:tc>
        <w:tc>
          <w:tcPr>
            <w:tcW w:w="20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20"/>
                <w:szCs w:val="20"/>
                <w:color w:val="auto"/>
              </w:rPr>
            </w:pPr>
            <w:r>
              <w:rPr>
                <w:rFonts w:ascii="Arial" w:cs="Arial" w:eastAsia="Arial" w:hAnsi="Arial"/>
                <w:sz w:val="18"/>
                <w:szCs w:val="18"/>
                <w:color w:val="auto"/>
              </w:rPr>
              <w:t>2.25 to 1.00</w:t>
            </w: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June 30, 2014 and thereafter</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2.00 to 1.00</w:t>
            </w:r>
          </w:p>
        </w:tc>
      </w:tr>
    </w:tbl>
    <w:p>
      <w:pPr>
        <w:spacing w:after="0" w:line="214"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xml:space="preserve">. Permit Consolidated EBITDA as of the end of each of the fiscal quarters ending on the dates set forth for the period of four fiscal quarters ending on such dates below to be less than the amount set forth opposite such quarter in the table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fiscal quarters ended on December 31, 2011, March 31, 2012 and June 30, 2012, such periods shall be one fiscal quarter, two fiscal quarters and three fiscal quarters, respectively: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2040" w:type="dxa"/>
            <w:vAlign w:val="bottom"/>
            <w:gridSpan w:val="4"/>
          </w:tcPr>
          <w:p>
            <w:pPr>
              <w:ind w:left="80"/>
              <w:spacing w:after="0"/>
              <w:rPr>
                <w:sz w:val="20"/>
                <w:szCs w:val="20"/>
                <w:color w:val="auto"/>
              </w:rPr>
            </w:pPr>
            <w:r>
              <w:rPr>
                <w:rFonts w:ascii="Arial" w:cs="Arial" w:eastAsia="Arial" w:hAnsi="Arial"/>
                <w:sz w:val="18"/>
                <w:szCs w:val="18"/>
                <w:color w:val="auto"/>
              </w:rPr>
              <w:t>Consolidated EBITDA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7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March 31, 2012</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June 30, 2012</w:t>
            </w:r>
          </w:p>
        </w:tc>
        <w:tc>
          <w:tcPr>
            <w:tcW w:w="7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September 30, 2012</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2012 and March 31, 2013</w:t>
            </w:r>
          </w:p>
        </w:tc>
        <w:tc>
          <w:tcPr>
            <w:tcW w:w="7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June 30, 2013</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2013</w:t>
            </w:r>
          </w:p>
        </w:tc>
        <w:tc>
          <w:tcPr>
            <w:tcW w:w="7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December 31, 2013 and thereafter</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52"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Pursuant to the Purchase Agreement, at the closing, the Company delivered to IM Ready a promissory note (the “Seller Note”) in the principal amount of $7,377,432. The stated interest rate of the Seller Note is 0.26%. Management has determined that this rate is below the Company’s expected borrowing rate, which is 9.25%. Therefore, the Company has discounted the Seller Note by $1,781,781 using a 9.0% discount rate, imputed annual interest rate, resulting in a current value of $5,595,651. In addition, the Company pre-paid $122,568 of interest on the Seller Note on the Closing Date. The Seller Note balance at September 30, 2011 is $5,598,526.</w:t>
      </w:r>
    </w:p>
    <w:p>
      <w:pPr>
        <w:spacing w:after="0" w:line="215" w:lineRule="exact"/>
        <w:rPr>
          <w:sz w:val="20"/>
          <w:szCs w:val="20"/>
          <w:color w:val="auto"/>
        </w:rPr>
      </w:pPr>
    </w:p>
    <w:p>
      <w:pPr>
        <w:ind w:right="40" w:firstLine="810"/>
        <w:spacing w:after="0" w:line="286" w:lineRule="auto"/>
        <w:rPr>
          <w:sz w:val="20"/>
          <w:szCs w:val="20"/>
          <w:color w:val="auto"/>
        </w:rPr>
      </w:pPr>
      <w:r>
        <w:rPr>
          <w:rFonts w:ascii="Arial" w:cs="Arial" w:eastAsia="Arial" w:hAnsi="Arial"/>
          <w:sz w:val="16"/>
          <w:szCs w:val="16"/>
          <w:color w:val="auto"/>
        </w:rPr>
        <w:t>The Seller Note initially matures three years from the Closing Date (the “Maturity Date”) subject to extension as described below (the date to which the maturity date of the Seller Note is extended is referred to as the “Subsequent Maturity Date”). We have the right to pay the Seller Note at the Maturity Date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Maturity Date. In addition, at any time the Seller Note is outstanding, we have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Long Term Installment Obligations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described in Note 5 herein, prior to the Merger and related transactions, Earthbound had certain rights and provided certain services to IM Ready related to the Isaac Mizrahi Business. Effective as of the Closing Date, IM Ready and Earthbound entered into the Services Agreement pursuant to which Earthbound provided transitional services to IM Ready prior to the closing of the Merger and for which Earthbound received from IM Ready $600,000 in cash on the Closing Date and IM Ready agreed to pay to Earthbound an additional payment of $1,500,000 (the “Future Payment”), with such amount payable over the next five years. The Company assumed the obligations related to the Future Payment from IM Ready upon its acquisition of the Isaac Mizrahi Business. The five-year obligation is non-interest bearing and the Company has discounted the amount of the installment obligation by 9.25% imputed annual interest rate, resulting in a current value of $1,132,167.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Payments are due quarterly beginning March 2012. Annual principal obligations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ind w:left="40"/>
              <w:spacing w:after="0"/>
              <w:rPr>
                <w:sz w:val="20"/>
                <w:szCs w:val="20"/>
                <w:color w:val="auto"/>
              </w:rPr>
            </w:pPr>
            <w:r>
              <w:rPr>
                <w:rFonts w:ascii="Arial" w:cs="Arial" w:eastAsia="Arial" w:hAnsi="Arial"/>
                <w:sz w:val="18"/>
                <w:szCs w:val="18"/>
                <w:color w:val="auto"/>
                <w:w w:val="99"/>
              </w:rPr>
              <w:t>Year Ending December 31,</w:t>
            </w: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FFCC"/>
          </w:tcPr>
          <w:p>
            <w:pPr>
              <w:spacing w:after="0"/>
              <w:rPr>
                <w:sz w:val="18"/>
                <w:szCs w:val="18"/>
                <w:color w:val="auto"/>
              </w:rPr>
            </w:pPr>
          </w:p>
        </w:tc>
        <w:tc>
          <w:tcPr>
            <w:tcW w:w="2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302,000</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shd w:val="clear" w:color="auto" w:fill="CCFFCC"/>
          </w:tcPr>
          <w:p>
            <w:pPr>
              <w:spacing w:after="0"/>
              <w:rPr>
                <w:sz w:val="19"/>
                <w:szCs w:val="19"/>
                <w:color w:val="auto"/>
              </w:rPr>
            </w:pPr>
          </w:p>
        </w:tc>
        <w:tc>
          <w:tcPr>
            <w:tcW w:w="2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330,000</w:t>
            </w:r>
          </w:p>
        </w:tc>
        <w:tc>
          <w:tcPr>
            <w:tcW w:w="8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1,132,000</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Lease Obligations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assumed the obligations under an equipment lease through February 2013. The net discounted payments of the lease obligations are in excess of 90% of the FMV of the equipment. The Company has capitalized the discounted lease payments by 9.25%.</w:t>
      </w:r>
    </w:p>
    <w:p>
      <w:pPr>
        <w:spacing w:after="0" w:line="193"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the Isaac Mizrahi Business</w:t>
      </w:r>
    </w:p>
    <w:p>
      <w:pPr>
        <w:spacing w:after="0" w:line="229" w:lineRule="exact"/>
        <w:rPr>
          <w:sz w:val="20"/>
          <w:szCs w:val="20"/>
          <w:color w:val="auto"/>
        </w:rPr>
      </w:pPr>
    </w:p>
    <w:p>
      <w:pPr>
        <w:ind w:right="100" w:firstLine="810"/>
        <w:spacing w:after="0" w:line="254" w:lineRule="auto"/>
        <w:rPr>
          <w:sz w:val="20"/>
          <w:szCs w:val="20"/>
          <w:color w:val="auto"/>
        </w:rPr>
      </w:pPr>
      <w:r>
        <w:rPr>
          <w:rFonts w:ascii="Arial" w:cs="Arial" w:eastAsia="Arial" w:hAnsi="Arial"/>
          <w:sz w:val="18"/>
          <w:szCs w:val="18"/>
          <w:color w:val="auto"/>
        </w:rPr>
        <w:t>On May 19, 2011, Old XCel and IM Brands, a wholly-owned subsidiary of Old XCel (together, the “Buyers”), entered into an asset purchase agreement, as amended (the “Purchase Agreement”), with IM Ready, Isaac Mizrahi and Marisa Gardini, pursuant to which the Buyers acquired certain assets of IM Ready, including (i) the “Isaac Mizrahi” brands (including the trademarks and brands “Isaac Mizrahi New York”, “Isaac Mizrahi” and “IsaacMizrahiLIVE”) (collectively, the “IM Trademarks”), (ii) the license agreements between IM Ready and certain third parties related to the IM Trademarks (together with the IM Trademarks, the “Isaac Mizrahi Business”), (iii) design agreements with Liz Claiborne and QVC to design the “Liz Claiborne New York” brand for sale exclusively at QVC and (iv) computers, design software, and other assets related to the licensing and design of the IM Trademarks and the design of the Liz Claiborne New York brand. The parties consummated the asset purchase contemplated by the Purchase Agreement on September 29, 2011.</w:t>
      </w:r>
    </w:p>
    <w:p>
      <w:pPr>
        <w:spacing w:after="0" w:line="192"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Pursuant to an agreement between IM Ready and Earthbound (the “Earthbound Agreement”), Earthbound had certain rights related to the IM Trademarks and provided certain design services for IM Ready. In connection with the consummation of the acquisition by the Company of the Isaac Mizrahi Business, Old XCel and Earthbound entered into a contribution agreement (the “Contribution Agreement”) pursuant to which, on the Closing Date, Earthbound contributed to the Company (i) the Earthbound Agreement and (ii) certain assets relating to the operation of the Isaac Mizrahi Business including archives, designs, certain intellectual property rights, software and equipment (the “Earthbound Assets”) in exchange for 944,688 shares of Common Stock and also purchased one (1) Unit in the Offering (as defined in Note 6 below). The closing of the acquisition of the Isaac Mizrahi Business and Earthbound Assets occurred in conjunction with the consummation of the Merger, after which the Company terminated the Earthbound Agreement. Earthbound contributed to Old Excel the Earthbound Agreement and certain assets in exchange for 944,688 shares of the Company’s Common Stock valued at $3,155,258 based on the Effective Share Purchase Price.</w:t>
      </w:r>
    </w:p>
    <w:p>
      <w:pPr>
        <w:spacing w:after="0" w:line="209"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Pursuant to the Purchase Agreement, at the closing, the Buyers delivered (i) to IM Ready (a) $9,673,568 in cash, (b) a promissory note (the “Seller Note”) in the principal amount of $7,377,432 and (c) 2,759,000 shares of common stock of the Company, valued at $9,215,000 based on the Effective Share Purchase Price (the “IM Ready Stock Consideration”), and (ii) to an escrow agent $500,000 that the escrow agent will pay to IM Ready upon resolution of certain obligations of IM Ready and Mizrahi (together, the “Closing Consideration”). The Company also pre-paid $122,568 of interest on the Note on the Closing Date and agreed to include up to 1,200,000 of the shares of the IM Ready Stock Consideration in the registration statement which the Company has agreed to file to register for resale of the Shares and Warrant Shares of the Investors (the “Registration Statement”).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 w:name="page14"/>
    <w:bookmarkEnd w:id="13"/>
    <w:p>
      <w:pPr>
        <w:jc w:val="both"/>
        <w:ind w:right="420" w:firstLine="648"/>
        <w:spacing w:after="0" w:line="264" w:lineRule="auto"/>
        <w:rPr>
          <w:sz w:val="20"/>
          <w:szCs w:val="20"/>
          <w:color w:val="auto"/>
        </w:rPr>
      </w:pPr>
      <w:r>
        <w:rPr>
          <w:rFonts w:ascii="Arial" w:cs="Arial" w:eastAsia="Arial" w:hAnsi="Arial"/>
          <w:sz w:val="18"/>
          <w:szCs w:val="18"/>
          <w:color w:val="auto"/>
        </w:rPr>
        <w:t xml:space="preserve">The Company accounts for purchase of the Isaac Mizrahi Business using the acquisition method of accounting. In accordance with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total purchase consideration is allocated to certain net tangible and identifiable intangible assets acquired, and liabilities assumed, based on their estimated fair values as of September 29, 2011.</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The purchase price for the acquisition is being allocated as follows: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140" w:type="dxa"/>
            <w:vAlign w:val="bottom"/>
            <w:gridSpan w:val="2"/>
          </w:tcPr>
          <w:p>
            <w:pPr>
              <w:spacing w:after="0"/>
              <w:rPr>
                <w:sz w:val="20"/>
                <w:szCs w:val="20"/>
                <w:color w:val="auto"/>
              </w:rPr>
            </w:pPr>
            <w:r>
              <w:rPr>
                <w:rFonts w:ascii="Arial" w:cs="Arial" w:eastAsia="Arial" w:hAnsi="Arial"/>
                <w:sz w:val="18"/>
                <w:szCs w:val="18"/>
                <w:color w:val="auto"/>
              </w:rPr>
              <w:t>Components of purchase price: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Cash paid at closing</w:t>
            </w:r>
          </w:p>
        </w:tc>
        <w:tc>
          <w:tcPr>
            <w:tcW w:w="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9,673,568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Cash deposited with escrow agent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w w:val="93"/>
              </w:rPr>
              <w:t>3,703,688 shares of common stock of the Company valued at $3.34 per share</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12,370,318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Seller Note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7,377,432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Seller Note discount (See Note 4, Debt)</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(1,781,781)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Contingent obligations – Due to Seller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18,258,040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Long term installment obligation (Earthbound) (See Note 4, Debt)</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1,132,167</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Seller Licensee obligation assumed and paid at closing</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36"/>
        </w:trPr>
        <w:tc>
          <w:tcPr>
            <w:tcW w:w="1340" w:type="dxa"/>
            <w:vAlign w:val="bottom"/>
          </w:tcPr>
          <w:p>
            <w:pPr>
              <w:spacing w:after="0"/>
              <w:rPr>
                <w:sz w:val="20"/>
                <w:szCs w:val="20"/>
                <w:color w:val="auto"/>
              </w:rPr>
            </w:pPr>
          </w:p>
        </w:tc>
        <w:tc>
          <w:tcPr>
            <w:tcW w:w="5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Bargain purchase price</w:t>
            </w:r>
          </w:p>
        </w:tc>
        <w:tc>
          <w:tcPr>
            <w:tcW w:w="22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spacing w:after="0"/>
              <w:rPr>
                <w:sz w:val="20"/>
                <w:szCs w:val="20"/>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433,256</w:t>
            </w: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b w:val="1"/>
                <w:bCs w:val="1"/>
                <w:color w:val="auto"/>
              </w:rPr>
              <w:t>Total purchase price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49,463,000</w:t>
            </w:r>
          </w:p>
        </w:tc>
        <w:tc>
          <w:tcPr>
            <w:tcW w:w="0" w:type="dxa"/>
            <w:vAlign w:val="bottom"/>
          </w:tcPr>
          <w:p>
            <w:pPr>
              <w:spacing w:after="0"/>
              <w:rPr>
                <w:sz w:val="1"/>
                <w:szCs w:val="1"/>
                <w:color w:val="auto"/>
              </w:rPr>
            </w:pPr>
          </w:p>
        </w:tc>
      </w:tr>
      <w:tr>
        <w:trPr>
          <w:trHeight w:val="21"/>
        </w:trPr>
        <w:tc>
          <w:tcPr>
            <w:tcW w:w="7140" w:type="dxa"/>
            <w:vAlign w:val="bottom"/>
            <w:gridSpan w:val="2"/>
            <w:vMerge w:val="restart"/>
          </w:tcPr>
          <w:p>
            <w:pPr>
              <w:ind w:left="160"/>
              <w:spacing w:after="0"/>
              <w:rPr>
                <w:sz w:val="20"/>
                <w:szCs w:val="20"/>
                <w:color w:val="auto"/>
              </w:rPr>
            </w:pPr>
            <w:r>
              <w:rPr>
                <w:rFonts w:ascii="Arial" w:cs="Arial" w:eastAsia="Arial" w:hAnsi="Arial"/>
                <w:sz w:val="18"/>
                <w:szCs w:val="18"/>
                <w:color w:val="auto"/>
              </w:rPr>
              <w:t>Preliminary allocation of purchase price:</w:t>
            </w: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80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Trademark and other related intangible assets</w:t>
            </w:r>
          </w:p>
        </w:tc>
        <w:tc>
          <w:tcPr>
            <w:tcW w:w="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48,230,000</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Property, furniture and equipment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58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49,463,000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The Seller Note initially matures three years from the Closing Date (the “Maturity Date”) subject to extension as described in Note 4, Debt (the date to which the maturity date of the Seller Note is extended is referred to as the “Subsequent Maturity Date”). We have the right to pay the Seller Note at the Maturity Date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Maturity Date. In addition, at any time the Seller Note is outstanding, we have the right to convert the Seller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175"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In addition to the Closing Consideration and the escrowed funds, IM Ready will be eligible to earn additional shares of Common Stock with a value of up to $7,500,000 (the “Earn-Out Value”) each year for the four consecutive years after the Closing Date, with the number of shares to be issued based upon the greater of (i) $4.50 and (ii) average stock price for the last twenty days in such period and with such earn-out payment contingent upon the Isaac Mizrahi Business achieving the royalty targets set forth below during those years. The Earn-Out Value is payable solely in stock. Management has analyzed and quantified the expected earn out payments over the four years following the Closing Date. This amount has been recorded as a long-term obligation, discounted by 9.25%, (the Company’s estimated borrowing rate) and will record the difference as imputed interest expense in each period subsequent to the expected payment. The Earn-Out Value is payable solely in stock. Management will assess no less frequent than each reporting period the status of this contingent obligations. Any change in the expected obligation will result in an expense or income in the period in which it is determined fair market value of the carrying value has changed. The Earn-Out value balance at September 30, 2011 is $16,399,781.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rPr>
              <w:t>ROYALTY</w:t>
            </w:r>
          </w:p>
        </w:tc>
        <w:tc>
          <w:tcPr>
            <w:tcW w:w="1520" w:type="dxa"/>
            <w:vAlign w:val="bottom"/>
            <w:gridSpan w:val="4"/>
          </w:tcPr>
          <w:p>
            <w:pPr>
              <w:ind w:left="180"/>
              <w:spacing w:after="0"/>
              <w:rPr>
                <w:sz w:val="20"/>
                <w:szCs w:val="20"/>
                <w:color w:val="auto"/>
              </w:rPr>
            </w:pPr>
            <w:r>
              <w:rPr>
                <w:rFonts w:ascii="Arial" w:cs="Arial" w:eastAsia="Arial" w:hAnsi="Arial"/>
                <w:sz w:val="18"/>
                <w:szCs w:val="18"/>
                <w:b w:val="1"/>
                <w:bCs w:val="1"/>
                <w:color w:val="auto"/>
              </w:rPr>
              <w:t>EARN-OUT</w:t>
            </w:r>
          </w:p>
        </w:tc>
        <w:tc>
          <w:tcPr>
            <w:tcW w:w="0" w:type="dxa"/>
            <w:vAlign w:val="bottom"/>
          </w:tcPr>
          <w:p>
            <w:pPr>
              <w:spacing w:after="0"/>
              <w:rPr>
                <w:sz w:val="1"/>
                <w:szCs w:val="1"/>
                <w:color w:val="auto"/>
              </w:rPr>
            </w:pPr>
          </w:p>
        </w:tc>
      </w:tr>
      <w:tr>
        <w:trPr>
          <w:trHeight w:val="241"/>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PERIODS</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rPr>
              <w:t>TARGET</w:t>
            </w:r>
          </w:p>
        </w:tc>
        <w:tc>
          <w:tcPr>
            <w:tcW w:w="1520" w:type="dxa"/>
            <w:vAlign w:val="bottom"/>
            <w:gridSpan w:val="4"/>
          </w:tcPr>
          <w:p>
            <w:pPr>
              <w:ind w:left="18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First Royalty Target Period</w:t>
            </w:r>
          </w:p>
        </w:tc>
        <w:tc>
          <w:tcPr>
            <w:tcW w:w="3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16,000,000</w:t>
            </w:r>
          </w:p>
        </w:tc>
        <w:tc>
          <w:tcPr>
            <w:tcW w:w="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Second Royalty Target Period</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20,000,000</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Third Royalty Target Period</w:t>
            </w:r>
          </w:p>
        </w:tc>
        <w:tc>
          <w:tcPr>
            <w:tcW w:w="3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22,000,000</w:t>
            </w:r>
          </w:p>
        </w:tc>
        <w:tc>
          <w:tcPr>
            <w:tcW w:w="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Fourth Royalty Target Period</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24,000,000</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40" w:firstLine="810"/>
        <w:spacing w:after="0" w:line="277" w:lineRule="auto"/>
        <w:rPr>
          <w:sz w:val="20"/>
          <w:szCs w:val="20"/>
          <w:color w:val="auto"/>
        </w:rPr>
      </w:pPr>
      <w:r>
        <w:rPr>
          <w:rFonts w:ascii="Arial" w:cs="Arial" w:eastAsia="Arial" w:hAnsi="Arial"/>
          <w:sz w:val="18"/>
          <w:szCs w:val="18"/>
          <w:color w:val="auto"/>
        </w:rPr>
        <w:t>IM Ready will receive a percentage of the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APPLICABLE</w:t>
            </w: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 OF EARN-OUT</w:t>
            </w:r>
          </w:p>
        </w:tc>
        <w:tc>
          <w:tcPr>
            <w:tcW w:w="0" w:type="dxa"/>
            <w:vAlign w:val="bottom"/>
          </w:tcPr>
          <w:p>
            <w:pPr>
              <w:spacing w:after="0"/>
              <w:rPr>
                <w:sz w:val="1"/>
                <w:szCs w:val="1"/>
                <w:color w:val="auto"/>
              </w:rPr>
            </w:pPr>
          </w:p>
        </w:tc>
      </w:t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VALUE EARNED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100" w:type="dxa"/>
            <w:vAlign w:val="bottom"/>
            <w:shd w:val="clear" w:color="auto" w:fill="CCFFCC"/>
          </w:tcPr>
          <w:p>
            <w:pPr>
              <w:spacing w:after="0"/>
              <w:rPr>
                <w:sz w:val="18"/>
                <w:szCs w:val="18"/>
                <w:color w:val="auto"/>
              </w:rPr>
            </w:pPr>
          </w:p>
        </w:tc>
        <w:tc>
          <w:tcPr>
            <w:tcW w:w="2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76% up to 80%</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80% up to 90%</w:t>
            </w:r>
          </w:p>
        </w:tc>
        <w:tc>
          <w:tcPr>
            <w:tcW w:w="22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90% up to 95%</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95% up to 100%</w:t>
            </w:r>
          </w:p>
        </w:tc>
        <w:tc>
          <w:tcPr>
            <w:tcW w:w="22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100% or greater</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QVC Earn-Out payment require the Company to pay IM Ready $2,765,500, payable in cash or Common Stock, at the Company’s option, contingent upon the Isaac Mizrahi Business receiving aggregate net royalty income of at least $2,500,000 from QVC, Inc. in the twelve month period ending on the four year anniversary of the Closing Date with such stock based upon the greater of (x) $4.50 and (y) fair market value of the common stock at the time of such issuance (the “QVC Earn-out’). The 4th anniversary from the date of the closing is September 29, 2015. The QVC Agreement current term runs through September 30, 2015. Management has determined that is probable that the $2.5 million in net royalty income from QVC will be met. Therefore, the Company has elected to record the obligation as a long-term obligation, discounted by 9.25%, (the Company’s estimated borrowing rate) and will record the difference as imputed interest expense in each period subsequent to the expected payment. Management will assess no less frequent than each reporting period the status of this contingent obligations. Any change in the expected obligation will result in an expense or income in the period in which it is determined fair market value of the carrying value has changed. The QVC Earn-out balance at September 30, 2011 is $1,859,214.</w:t>
      </w:r>
    </w:p>
    <w:p>
      <w:pPr>
        <w:spacing w:after="0" w:line="194" w:lineRule="exact"/>
        <w:rPr>
          <w:sz w:val="20"/>
          <w:szCs w:val="20"/>
          <w:color w:val="auto"/>
        </w:rPr>
      </w:pPr>
    </w:p>
    <w:p>
      <w:pPr>
        <w:ind w:right="200" w:firstLine="810"/>
        <w:spacing w:after="0" w:line="264" w:lineRule="auto"/>
        <w:rPr>
          <w:sz w:val="20"/>
          <w:szCs w:val="20"/>
          <w:color w:val="auto"/>
        </w:rPr>
      </w:pPr>
      <w:r>
        <w:rPr>
          <w:rFonts w:ascii="Arial" w:cs="Arial" w:eastAsia="Arial" w:hAnsi="Arial"/>
          <w:sz w:val="18"/>
          <w:szCs w:val="18"/>
          <w:color w:val="auto"/>
        </w:rPr>
        <w:t>As of September 30, 2011 the QVC Earn-out is $1,859,214 and the Earn-Out Value is $16,399,781, combining to equal $18,258,995 and represents the total contingent obligation to IM Ready. Based on the variables relating to each contingent obligation the Company estimates the range in the combined contingent obligation from $12,000,000 to $21,000,000.</w:t>
      </w:r>
    </w:p>
    <w:p>
      <w:pPr>
        <w:spacing w:after="0" w:line="208" w:lineRule="exact"/>
        <w:rPr>
          <w:sz w:val="20"/>
          <w:szCs w:val="20"/>
          <w:color w:val="auto"/>
        </w:rPr>
      </w:pPr>
    </w:p>
    <w:p>
      <w:pPr>
        <w:ind w:right="100" w:firstLine="810"/>
        <w:spacing w:after="0" w:line="276" w:lineRule="auto"/>
        <w:rPr>
          <w:sz w:val="20"/>
          <w:szCs w:val="20"/>
          <w:color w:val="auto"/>
        </w:rPr>
      </w:pPr>
      <w:r>
        <w:rPr>
          <w:rFonts w:ascii="Arial" w:cs="Arial" w:eastAsia="Arial" w:hAnsi="Arial"/>
          <w:sz w:val="17"/>
          <w:szCs w:val="17"/>
          <w:color w:val="auto"/>
        </w:rPr>
        <w:t>Pursuant to a voting agreement entered into in connection with the Purchase Agreement (“Voting Agreement”), IM Ready has agreed to appoint a person designated by the board of directors of the Company as IM Ready’s irrevocable proxy and attorney-in-fact with respect to the shares of the Common Stock to be received by IM Ready in connection with the Merger. The board of the directors of the Company has designated Robert D’Loren to act as IM Ready’s irrevocable proxy and attorney in fact with respect to such shares of Common Stock. Pursuant to the Voting Agreement, such proxy holder is required to vote in favor of matters recommended or approved by the board of directors of the Company.</w:t>
      </w:r>
    </w:p>
    <w:p>
      <w:pPr>
        <w:spacing w:after="0" w:line="173" w:lineRule="exact"/>
        <w:rPr>
          <w:sz w:val="20"/>
          <w:szCs w:val="20"/>
          <w:color w:val="auto"/>
        </w:rPr>
      </w:pPr>
    </w:p>
    <w:p>
      <w:pPr>
        <w:ind w:right="140" w:firstLine="810"/>
        <w:spacing w:after="0" w:line="271" w:lineRule="auto"/>
        <w:rPr>
          <w:sz w:val="20"/>
          <w:szCs w:val="20"/>
          <w:color w:val="auto"/>
        </w:rPr>
      </w:pPr>
      <w:r>
        <w:rPr>
          <w:rFonts w:ascii="Arial" w:cs="Arial" w:eastAsia="Arial" w:hAnsi="Arial"/>
          <w:sz w:val="17"/>
          <w:szCs w:val="17"/>
          <w:color w:val="auto"/>
        </w:rPr>
        <w:t>Pursuant to a lock-up agreement entered into in connection with the Purchase Agreement (“Lock-up Agreement”), IM Ready agreed that during the six (6) months from the Closing Date, in the case of the IM Ready Stock Consideration, or during the twelve (12) months from the date any additional shares are issued to IM Ready pursuant to the Purchase Agreement (collectively, the “Lock-up Shares”), IM Ready may not offer, sell, pledge, hypothecate, grant an option for sale or otherwise dispose of, or transfer or grant any rights with respect to, any of the Lockup Shares, except with respect to up to 1,200,000 of the IM Ready Stock Consideration which the Company agreed to include in the Registration Statement. With respect to any shares received by IM Ready as consideration under the Purchase Agreement, other than as IM Ready Stock Consideration, upon the expiration of the initial 12-month period, the lock-up restrictions on transfer shall lapse with respect to 25% of the Lockup Shares. Additionally, on the first day of each of the next three quarters, the restrictions on transfer shall lapse with respect to an additional 25% of the Lockup Shares.</w:t>
      </w:r>
    </w:p>
    <w:p>
      <w:pPr>
        <w:spacing w:after="0" w:line="206"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The following unaudited pro-forma information presents a summary of the Company’s consolidated results of operations as if the Isaac Mizrahi Business Acquisition and the related financing had occurred on January 1, 2011. These pro-forma results have been prepared for comparative purposes only and do not purport to be indicative of the results of operations which actually would have occurred on January 1, 2011, or which may result in the future. Pro-forma results have no been provided for the period September 23, 2010 to September 30, 2010.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tbl>
      <w:tblPr>
        <w:tblLayout w:type="fixed"/>
        <w:tblInd w:w="34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 September</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30, 2011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2,876,000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8,665,000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(1,617,000)</w:t>
            </w: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(4,487,000)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Stock based Compensation</w:t>
            </w: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(747,000)</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(747,000)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70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tcBorders>
              <w:right w:val="single" w:sz="8" w:color="CCFFCC"/>
            </w:tcBorders>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512,000</w:t>
            </w: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(3,431,000)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Interest and other financing expense</w:t>
            </w: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(601,000)</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(1,802,000)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(489,000)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6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(62,000)</w:t>
            </w:r>
          </w:p>
        </w:tc>
        <w:tc>
          <w:tcPr>
            <w:tcW w:w="120" w:type="dxa"/>
            <w:vAlign w:val="bottom"/>
            <w:shd w:val="clear" w:color="auto" w:fill="CCFFCC"/>
          </w:tcPr>
          <w:p>
            <w:pPr>
              <w:spacing w:after="0"/>
              <w:rPr>
                <w:sz w:val="22"/>
                <w:szCs w:val="22"/>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1,140,000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vMerge w:val="restart"/>
          </w:tcPr>
          <w:p>
            <w:pPr>
              <w:spacing w:after="0"/>
              <w:rPr>
                <w:sz w:val="18"/>
                <w:szCs w:val="18"/>
                <w:color w:val="auto"/>
              </w:rPr>
            </w:pPr>
          </w:p>
        </w:tc>
        <w:tc>
          <w:tcPr>
            <w:tcW w:w="370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Basic earnings per common share</w:t>
            </w:r>
          </w:p>
        </w:tc>
        <w:tc>
          <w:tcPr>
            <w:tcW w:w="1080" w:type="dxa"/>
            <w:vAlign w:val="bottom"/>
            <w:shd w:val="clear" w:color="auto" w:fill="CCFFCC"/>
          </w:tcPr>
          <w:p>
            <w:pPr>
              <w:spacing w:after="0"/>
              <w:rPr>
                <w:sz w:val="22"/>
                <w:szCs w:val="22"/>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Diluted earnings per common share</w:t>
            </w:r>
          </w:p>
        </w:tc>
        <w:tc>
          <w:tcPr>
            <w:tcW w:w="10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w w:val="70"/>
              </w:rPr>
              <w:t>6.</w:t>
            </w:r>
          </w:p>
        </w:tc>
        <w:tc>
          <w:tcPr>
            <w:tcW w:w="47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00" w:type="dxa"/>
            <w:vAlign w:val="bottom"/>
            <w:vMerge w:val="continue"/>
          </w:tcPr>
          <w:p>
            <w:pPr>
              <w:spacing w:after="0"/>
              <w:rPr>
                <w:sz w:val="24"/>
                <w:szCs w:val="24"/>
                <w:color w:val="auto"/>
              </w:rPr>
            </w:pPr>
          </w:p>
        </w:tc>
        <w:tc>
          <w:tcPr>
            <w:tcW w:w="47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478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The Merger</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On September 29, 2011, the Company, Old XCel, Acquisition Corp, and certain stockholders of the Company entered into an Agreement of Merger and Plan of Reorganization (the “Merger Agreement”) pursuant to which Acquisition Corp. was merged with and into Old XCel, with Old XCel surviving as a wholly-owned subsidiary of the Company (the “Merger”). Immediately following the Merger, Old Xcel was merged with and into the Company and the Company changed its name to Xcel Brands, Inc. Pursuant to the Merger, the Company, through Acquisition Corp, acquired all of the outstanding capital stock of Old XCel in exchange for issuing an aggregate of 944,688 shares of Common Stock, par value $0.001 per share (the “Common Stock”) to Old XCel’s stockholders at a ratio of 9,446.88 shares of Common Stock for each share of Old XCel common stock outstanding at the effective time of the Merger. As a result of the Merger, Old XCel’s former stockholders and the IM Ready (as defined below) stockholders became the majority stockholders of the Company</w:t>
      </w:r>
    </w:p>
    <w:p>
      <w:pPr>
        <w:spacing w:after="0" w:line="192" w:lineRule="exact"/>
        <w:rPr>
          <w:sz w:val="20"/>
          <w:szCs w:val="20"/>
          <w:color w:val="auto"/>
        </w:rPr>
      </w:pPr>
    </w:p>
    <w:p>
      <w:pPr>
        <w:ind w:right="100" w:firstLine="810"/>
        <w:spacing w:after="0" w:line="276" w:lineRule="auto"/>
        <w:rPr>
          <w:sz w:val="20"/>
          <w:szCs w:val="20"/>
          <w:color w:val="auto"/>
        </w:rPr>
      </w:pPr>
      <w:r>
        <w:rPr>
          <w:rFonts w:ascii="Arial" w:cs="Arial" w:eastAsia="Arial" w:hAnsi="Arial"/>
          <w:sz w:val="17"/>
          <w:szCs w:val="17"/>
          <w:color w:val="auto"/>
        </w:rPr>
        <w:t>Also in connection with the Merger and related transactions, as more fully described herein, the Company issued (i) 2,759,000 shares of Common Stock to IM Ready, and 944,688 shares of Common Stock to Earthbound, both in satisfaction of Old XCel’s obligations under an asset purchase agreement with IM Ready and (ii) 47,132 shares of Common Stock to Mr. Stephen J. Cole-Hatchard or his designees, a then-current director of the Company for his continued service as a director of the Company until new directors were appointed to the board of directors of the Company, which appointments were effective on October 17, 2011 and at which point Mr. Cole-Hatchard resigned from the Company’s board of directors.</w:t>
      </w:r>
    </w:p>
    <w:p>
      <w:pPr>
        <w:spacing w:after="0" w:line="173"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On September 28, 2011, the Company filed an amendment to its certificate of incorporation and affected a 1 for 520.5479607 reverse stock split such that holders of Common Stock prior to the Merger held a total of 186,444 shares of Common Stock and options and warrants to purchase 1,064 shares of Common Stock immediately prior to the Merger. After giving effect to the Merger, the Offering, the Loan and the transactions related thereto (all as defined and described herein), there were 5,742,952 shares of common stock issued and outstanding as of the Closing Date. All numbers of shares of Common Stock referenced herein are on a post-split basis.</w:t>
      </w:r>
    </w:p>
    <w:p>
      <w:pPr>
        <w:spacing w:after="0" w:line="188"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Additionally, 20,000 of the shares of Common Stock held by Beaufort Ventures, PLC, a principal stockholder of the Company prior to the Merger, are being held in escrow until such time as final determination is made by the Internal Revenue Service of certain Company tax liabilities. As additional consideration for the Merger, Old XCel paid $125,000 at the Closing to the then-current counsel to the Company in order to extinguish certain remaining liabilities of the Company immediately preceding the Merger.</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Simultaneously with the closing of the Merger, and pursuant to a Subscription Agreement (the “Subscription Agreement”) between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certain accredited investors (the “Investors”) named in the Subscription Agreement, we completed an offering (the “Offering”), raising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$4,305,000, through the sale of 8.61 units (each, a “Unit,” and collectively, the “Units”), each Unit consisting of One Hundred Thousand (100,000)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a Warrant to purchase Fifty Thousand (50,000) shares of Common Stock, at an exercise price of $0.01 per share (the “Warrants”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together with the Common Stock the “Securities”) at a price of $500,000 per Unit. Certain executive officers and their affiliates purchased 4.25 Units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on the same terms and conditions as other Investors (the “Insider Participation”).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ind w:right="60" w:firstLine="810"/>
        <w:spacing w:after="0" w:line="293" w:lineRule="auto"/>
        <w:rPr>
          <w:sz w:val="20"/>
          <w:szCs w:val="20"/>
          <w:color w:val="auto"/>
        </w:rPr>
      </w:pPr>
      <w:r>
        <w:rPr>
          <w:rFonts w:ascii="Arial" w:cs="Arial" w:eastAsia="Arial" w:hAnsi="Arial"/>
          <w:sz w:val="16"/>
          <w:szCs w:val="16"/>
          <w:color w:val="auto"/>
        </w:rPr>
        <w:t>The Warrants may be exercised at any time upon the election of the holder, beginning on the date of issuance and ending on September 29, 2016. If, one (1) year from the date of issuance there is no effective registration statement registering the shares of Common Stock underlying the Warrants, the Warrants will be exercisable on a cashless basis. The exercise price and number of shares of Common Stock to be received upon the exercise of Warrants are subject to adjustment upon the occurrence of certain events, such as stock splits, stock dividends or our recapitalization. In the event of our liquidation, dissolution or winding up, the holders of Warrants will not be entitled to participate in the distribution of our assets. Holders of Warrants have no voting, pre-emptive, subscription or other rights of stockholders in respect of the Warrants, nor shall holders thereof be entitled to receive dividends.</w:t>
      </w:r>
    </w:p>
    <w:p>
      <w:pPr>
        <w:spacing w:after="0" w:line="165" w:lineRule="exact"/>
        <w:rPr>
          <w:sz w:val="20"/>
          <w:szCs w:val="20"/>
          <w:color w:val="auto"/>
        </w:rPr>
      </w:pPr>
    </w:p>
    <w:p>
      <w:pPr>
        <w:ind w:right="160" w:firstLine="810"/>
        <w:spacing w:after="0" w:line="264" w:lineRule="auto"/>
        <w:rPr>
          <w:sz w:val="20"/>
          <w:szCs w:val="20"/>
          <w:color w:val="auto"/>
        </w:rPr>
      </w:pPr>
      <w:r>
        <w:rPr>
          <w:rFonts w:ascii="Arial" w:cs="Arial" w:eastAsia="Arial" w:hAnsi="Arial"/>
          <w:sz w:val="18"/>
          <w:szCs w:val="18"/>
          <w:color w:val="auto"/>
        </w:rPr>
        <w:t>In connection with the Offering, we issued to the placement agent, for placement agent services and as nominal consideration, five-year warrants (the “Agent Warrants”) to purchase 9,800 shares of Common Stock, exercisable at any time at a price equal to $5.50 per share, valued at approximately $9,000.</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Registration Requirements</w:t>
      </w:r>
    </w:p>
    <w:p>
      <w:pPr>
        <w:spacing w:after="0" w:line="252" w:lineRule="exact"/>
        <w:rPr>
          <w:sz w:val="20"/>
          <w:szCs w:val="20"/>
          <w:color w:val="auto"/>
        </w:rPr>
      </w:pPr>
    </w:p>
    <w:p>
      <w:pPr>
        <w:ind w:right="60" w:firstLine="810"/>
        <w:spacing w:after="0" w:line="276" w:lineRule="auto"/>
        <w:rPr>
          <w:sz w:val="20"/>
          <w:szCs w:val="20"/>
          <w:color w:val="auto"/>
        </w:rPr>
      </w:pPr>
      <w:r>
        <w:rPr>
          <w:rFonts w:ascii="Arial" w:cs="Arial" w:eastAsia="Arial" w:hAnsi="Arial"/>
          <w:sz w:val="17"/>
          <w:szCs w:val="17"/>
          <w:color w:val="auto"/>
        </w:rPr>
        <w:t>We have agreed to register the shares of the Common Stock and 100% of the Warrant Shares issued in connection with the Offering, on a registration statement to be filed with the Commission (the “Registration Statement”) within sixty (60) days after the final closing of the Offering (the “Filing Date”) and keep the Registration Statement effective until the earlier of (i) September 29, 2012 or (ii) until all Registrable Securities covered by such Registration Statement have been sold, or may be sold without volume or manner-of-sale restrictions pursuant to Rule 144, without the requirement for the Company to be in compliance with the current public information requirement under Rule 144.</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Agent Warrants have registration rights similar to the registration rights afforded to the Investors.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Company agreed to include up to 1,200,000 of the shares of Common Stock issuable to IM Ready on the Closing Date in the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jc w:val="both"/>
        <w:ind w:right="220" w:firstLine="810"/>
        <w:spacing w:after="0" w:line="264" w:lineRule="auto"/>
        <w:rPr>
          <w:sz w:val="20"/>
          <w:szCs w:val="20"/>
          <w:color w:val="auto"/>
        </w:rPr>
      </w:pPr>
      <w:r>
        <w:rPr>
          <w:rFonts w:ascii="Arial" w:cs="Arial" w:eastAsia="Arial" w:hAnsi="Arial"/>
          <w:sz w:val="18"/>
          <w:szCs w:val="18"/>
          <w:color w:val="auto"/>
        </w:rPr>
        <w:t>The Company has granted to certain of the executive officers pursuant to their individual employment agreements piggy-back registration rights with respect to the shares of Common Stock issuable upon exercise of the executive warrants. These individuals have, however, agreed not to include such shares in the Registration Statement.</w:t>
      </w:r>
    </w:p>
    <w:p>
      <w:pPr>
        <w:spacing w:after="0" w:line="181" w:lineRule="exact"/>
        <w:rPr>
          <w:sz w:val="20"/>
          <w:szCs w:val="20"/>
          <w:color w:val="auto"/>
        </w:rPr>
      </w:pPr>
    </w:p>
    <w:p>
      <w:pPr>
        <w:ind w:right="640" w:firstLine="810"/>
        <w:spacing w:after="0" w:line="264" w:lineRule="auto"/>
        <w:rPr>
          <w:sz w:val="20"/>
          <w:szCs w:val="20"/>
          <w:color w:val="auto"/>
        </w:rPr>
      </w:pPr>
      <w:r>
        <w:rPr>
          <w:rFonts w:ascii="Arial" w:cs="Arial" w:eastAsia="Arial" w:hAnsi="Arial"/>
          <w:sz w:val="18"/>
          <w:szCs w:val="18"/>
          <w:color w:val="auto"/>
        </w:rPr>
        <w:t>The Company granted to the holders of the Lender Warrants (as defined herein) piggy-back registration rights with respect to the shares of Common Stock issuable upon exercise of the Lender Warrants and the share issuable upon exercise of the Lender Warrants will be included in the Registration Statement.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2005 Stock Option Plan</w:t>
      </w:r>
    </w:p>
    <w:p>
      <w:pPr>
        <w:spacing w:after="0" w:line="252" w:lineRule="exact"/>
        <w:rPr>
          <w:sz w:val="20"/>
          <w:szCs w:val="20"/>
          <w:color w:val="auto"/>
        </w:rPr>
      </w:pPr>
    </w:p>
    <w:p>
      <w:pPr>
        <w:ind w:firstLine="810"/>
        <w:spacing w:after="0" w:line="276" w:lineRule="auto"/>
        <w:rPr>
          <w:sz w:val="20"/>
          <w:szCs w:val="20"/>
          <w:color w:val="auto"/>
        </w:rPr>
      </w:pPr>
      <w:r>
        <w:rPr>
          <w:rFonts w:ascii="Arial" w:cs="Arial" w:eastAsia="Arial" w:hAnsi="Arial"/>
          <w:sz w:val="17"/>
          <w:szCs w:val="17"/>
          <w:color w:val="auto"/>
        </w:rPr>
        <w:t>In March 2005, our board of directors (the “Board”) and stockholders adopted our 2005 Stock Option Plan, pursuant to which 9,000,000 shares of Common Stock on a pre-reverse split basis were reserved for issuance upon exercise of options. Our stock option plan is designed to serve as an incentive for retaining qualified and competent employees, directors and consultants. Our Board or a committee of our Board administers our stock option plan and is authorized, in its discretion, to grant options under our stock option plan to all eligible employees, including our officers, directors (whether or not employees) and consultants. We do not intend to grant any future awards under this plan.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As of the Closing Date, the Company assumed the 2011 Equity Incentive Plan (the “Plan”) of Old XCel as approved by Old XCel’s board of directors and stockholders. The purpose of the Plan is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2,500,000 shares of common stock are eligible for issuance under the Plan. The Plan provides for the grant of any or all of the following types of awards: stock options, restricted stock, deferred stock, stock appreciation rights and other stock-based awards. The Plan will be administered by the Board, or, at the Board's discretion, a committee of the Board. The Company issued to the board 250,000 options on the Closing Date. The 33.33% vest immediately, 33.34% vest on the first anniversary of the Closing and the 33.34 vest on the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anniversary of the Closing. The stock based compensation recorded for the three months and nine months ended September 30, 2011 is $98,365 for each period.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7" w:name="page18"/>
    <w:bookmarkEnd w:id="17"/>
    <w:p>
      <w:pPr>
        <w:ind w:left="130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for these options and warrants for all years was estimated at the date of grant using a Black-Scholes option-pricing model with the following weighted-average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5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w:t>
            </w:r>
          </w:p>
        </w:tc>
        <w:tc>
          <w:tcPr>
            <w:tcW w:w="53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2.5 - 5 years</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20" w:type="dxa"/>
            <w:vAlign w:val="bottom"/>
          </w:tcPr>
          <w:p>
            <w:pPr>
              <w:jc w:val="right"/>
              <w:spacing w:after="0"/>
              <w:rPr>
                <w:sz w:val="20"/>
                <w:szCs w:val="20"/>
                <w:color w:val="auto"/>
              </w:rPr>
            </w:pPr>
            <w:r>
              <w:rPr>
                <w:rFonts w:ascii="Arial" w:cs="Arial" w:eastAsia="Arial" w:hAnsi="Arial"/>
                <w:sz w:val="18"/>
                <w:szCs w:val="18"/>
                <w:color w:val="auto"/>
              </w:rPr>
              <w:t>3.6 – 3.80%</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its plans expire at various times, either five, seven or ten years from the date of grant, depending on the particular grant.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i w:val="1"/>
                <w:iCs w:val="1"/>
                <w:color w:val="auto"/>
              </w:rPr>
              <w:t>Options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6"/>
              </w:rPr>
              <w:t>Weighted-Average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Outstanding at September 30, 2011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250,589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Exercisable at September 30, 2011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83,914</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Compensation expense related to stock option grants for the Current Quarter and the Prior period from September 23, 2010 (“Inception”) to September 30, 2010 was $1,376,501 and $0. Compensation expense related to stock option grants for both the Current Nine Months and the Inception was $1,376,501 and $0,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i w:val="1"/>
                <w:iCs w:val="1"/>
                <w:color w:val="auto"/>
              </w:rPr>
              <w:t>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6"/>
              </w:rPr>
              <w:t>Weighted-Average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January 1, 2011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1,293,478</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Outstanding at September 30, 2011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1,294,542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FFCC"/>
          </w:tcPr>
          <w:p>
            <w:pPr>
              <w:spacing w:after="0"/>
              <w:rPr>
                <w:sz w:val="20"/>
                <w:szCs w:val="20"/>
                <w:color w:val="auto"/>
              </w:rPr>
            </w:pPr>
            <w:r>
              <w:rPr>
                <w:rFonts w:ascii="Arial" w:cs="Arial" w:eastAsia="Arial" w:hAnsi="Arial"/>
                <w:sz w:val="18"/>
                <w:szCs w:val="18"/>
                <w:color w:val="auto"/>
              </w:rPr>
              <w:t>Exercisable at September 30, 2011</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1,269,542</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29, 2011 the Company issued 463,750 warrants to management. The exercise price is $5.00 per share and the term is for 10 years. 363,760 warrants are fully vested on the grant date and 100,000 vest evenly over 2 years. The stock based compensation recorded for the three months and nine months ended September 30, 2011 is $569,116 for each period.</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Shares Reserved for Issuance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2011, 2,500,000 common shares were reserved for issuance under the 2011 Plan. At September 30, 2011 there were 2,250,000 common shares available for issuance under the Company’s 2011 Equity Incentive Plan.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ind w:right="8500" w:firstLine="332"/>
        <w:spacing w:after="0" w:line="519" w:lineRule="auto"/>
        <w:tabs>
          <w:tab w:leader="none" w:pos="81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IPX Capital, LLC</w:t>
      </w:r>
    </w:p>
    <w:p>
      <w:pPr>
        <w:ind w:right="20"/>
        <w:spacing w:after="0" w:line="286" w:lineRule="auto"/>
        <w:rPr>
          <w:sz w:val="20"/>
          <w:szCs w:val="20"/>
          <w:color w:val="auto"/>
        </w:rPr>
      </w:pPr>
      <w:r>
        <w:rPr>
          <w:rFonts w:ascii="Arial" w:cs="Arial" w:eastAsia="Arial" w:hAnsi="Arial"/>
          <w:sz w:val="17"/>
          <w:szCs w:val="17"/>
          <w:color w:val="auto"/>
        </w:rPr>
        <w:t>Old XCel and its wholly owned subsidiary IM Brands, collectively the “Buyers,” entered into the Purchase Agreement with IM Ready, whereby the Buyers acquired certain assets and assumed certain obligations of IM Ready. IPX Capital, LLC (“IPX”) entered into certain agreements with Old Xcel and IM Ready whereby IPX provided services to both Old Xcel and IM-Ready. IPX and Old Xcel have common ownership and common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IPX Capital, LLC – XCel Brands, Inc., Due Diligence Service Agreement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IPX and Old XCel entered into a Due Diligence Service Agreement dated December 3, 2010 whereby IPX provided various due diligence tasks relating to the Purchase Agreement including financial review of IM Ready, preparing business plans, financial projections and other documents required in connection with the transaction, advise the Buyers regarding the corporate, legal and financial structure of the transaction and assist the Buyers with the negotiation of documentation relating to the transaction. Market service fees for this type of engagement are typically either a fixed dollar amount or based upon hourly billing rates, plus reimbursement of direct expenses. IPX waived all of its fees it would have otherwise been entitled to, but not reimbursement of its direct expenses. Direct expenses incurred by, and reimbursable to, IPX by Old XCel of approximately $242,000 were paid following the Closing Date. IPX earned $221,728 and $0 for the three and nine months ended September 30, 2011, and from September 23, 2010 (Old Xcel’s inception) through September 30,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to Stockholder</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Robert D’Loren, Chairman and Chief Executive Officer and a principal stockholder of the Company, advanced certain expenses including but not limited to legal fees, banking fees, lender fees and appraisals on behalf of Old Xcel of approximately $162,000. As of September 30, 2011, the Company had re-paid Mr. D’Loren for such advances.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12, 2011, Old XCel entered into a one year agreement which was amended on October 4, 2011, with Todd Slater, was appointed as a director of the Company commencing on October 17, 2011, for services related to the Company’s licensing strategy and introduction of potential licensees. Slater’s agreement provides for a one-tine fee in the amount of $52,500 for strategic and planning services related to the Company’s licensing strategy. In addition, during the term of the agreement or during the year following the expiration of the term of the agreement, if the Company enters into a license or distribution agreement with a licensee introduced by Mr. Slater, Mr. Slater will receive a commission equal to fifteen percent (15%) of all net royalties received by the Company during the first term of such agreement, payable within thirty days of receipt of the net royalties. Mr. Slater earned $52,500 and $0 for the three and nine months ended September 30, 2011, and from September 23, 2010 through September 30, 2010, respectively.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Jones Texas, LLC</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12, 2011, Old Xcel entered into an agreement with Jones Texas, LLC (the “Jones Texas Agreement”) pursuant to which Old Xcel agreed to pay Jones Texas, LLC consulting fees of $30,000 to assist in the restructure IM Ready’s couture and ready-to-wear apparel businesses, which fees became due and payable to Jones Texas, LLC upon the completion of such restructuring work and closing of the transactions pursuant to the Purchase Agreement. The Jones Texas Agreement was terminated on July 31, 2011, however given the related work had been completed by Jones Texas, LLC, Old Xcel recorded a $30,000 obligation to Jones Texas, LLC which obligation was paid upon the closing of the Merger and transactions under the Purchase Agreement. Ed Jones, a principal shareholder and chief executive officer of Jones Texas, LLC was appointed to the Company’s board of directors following the Merger, which appointment became effective on October 17, 2011. The Company has no further obligations under the Jones Texas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Earthbound, LLC</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Earthbound entered into a service agreement with Laugh Club, Inc. (“Laugh Club”) on November 6, 2001 whereby Laugh Club engaged Earthbound to provide brand management and design services for mass-merchandised retail products for the Isaac Mizrahi Business (the “Earthbound Agreement”). Isaac Mizrahi, individually, is the controlling member and manager of Laugh Club and IM Ready-Made, LLC. On September 3, 2002, Laugh Club assigned all of the rights and obligations in the Earthbound Agreement to IM Ready. Earthbound has no common ownership, direct or indirect, with either IM Ready or Laugh Club.</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ind w:right="60"/>
        <w:spacing w:after="0" w:line="276" w:lineRule="auto"/>
        <w:rPr>
          <w:sz w:val="20"/>
          <w:szCs w:val="20"/>
          <w:color w:val="auto"/>
        </w:rPr>
      </w:pPr>
      <w:r>
        <w:rPr>
          <w:rFonts w:ascii="Arial" w:cs="Arial" w:eastAsia="Arial" w:hAnsi="Arial"/>
          <w:sz w:val="17"/>
          <w:szCs w:val="17"/>
          <w:color w:val="auto"/>
        </w:rPr>
        <w:t>Effective as of the Closing Date, IM Ready and Earthbound entered into the Services Agreement pursuant to which Earthbound provided transitional services to IM Ready prior to the closing of the transactions pursuant to the Purchase Agreement and Contribution Agreement, for which Earthbound received from IM Ready $600,000 in cash on the Closing Date and IM Ready agreed to pay Earthbound a total of $1,500,000 in additional consideration over the next five years (See Note 4, Debt for details). The Company assumed such payment obligation from IM Ready pursuant to the Purchase Agreement. Jeff Cohen is a principal owner of Earthbound and sits on the Company’s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August 2, 2011, Old XCel entered into a licensing agent agreement with Adam Dweck (“AD”) who is an Executive Vice President of Earthbound pursuant to which AD is entitled to a five percent (5%); commission on any royalties we receive under any new license agreements that he procures for us during the initial term of such license agreements. We also granted to AD options to purchase 25,000 shares of common stock at an exercise price of $5.00 per share. One half of the options will vest on each of the first and second anniversary dates of the date of the award if the consultant procures licenses which generate $0.5 million or more of royalties for us during each such year. In addition, the agent may earn the right to receive additional warrants upon the satisfaction of certain agreed upon target performance criteria. AD is the son of Jack Dweck, who is a principal of Earthbound and has been granted observer rights related to the Company’s meetings of its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w:t>
      </w:r>
    </w:p>
    <w:p>
      <w:pPr>
        <w:spacing w:after="0" w:line="25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Marisa Gardini, our Executive Vice President of Strategic Planning and Marketing and a director; the Irrevocable Trust of Rose Dempsey; the D’Loren Family Trust; James Haran, our Chief Financial Officer; Seth Burroughs, our Executive Vice President of Business Development and Treasury; and Mark DiSanto, a director, purchased 2; .495; .255; .15; .10 and .25 Units in the Offering (as defined in Note 6) for purchase prices of $1,000,000; $247,500; $127,500; $75,000; $50,000; and $125,000, on the same terms and conditions as other investors in the Offering.</w:t>
      </w:r>
    </w:p>
    <w:p>
      <w:pPr>
        <w:spacing w:after="0" w:line="194"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right="620" w:firstLine="810"/>
        <w:spacing w:after="0" w:line="277" w:lineRule="auto"/>
        <w:rPr>
          <w:sz w:val="20"/>
          <w:szCs w:val="20"/>
          <w:color w:val="auto"/>
        </w:rPr>
      </w:pPr>
      <w:r>
        <w:rPr>
          <w:rFonts w:ascii="Arial" w:cs="Arial" w:eastAsia="Arial" w:hAnsi="Arial"/>
          <w:sz w:val="18"/>
          <w:szCs w:val="18"/>
          <w:color w:val="auto"/>
        </w:rPr>
        <w:t>Effective as of November 9, 2011, Shares of the Company’s Common Stock are quoted on the OTCQB under the symbol XELB (formerly NFBHD and NFBH).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Safe Harbor Statement under the Private Securities Litigation Reform Act of 1995</w:t>
      </w:r>
      <w:r>
        <w:rPr>
          <w:rFonts w:ascii="Arial" w:cs="Arial" w:eastAsia="Arial" w:hAnsi="Arial"/>
          <w:sz w:val="16"/>
          <w:szCs w:val="16"/>
          <w:color w:val="auto"/>
        </w:rPr>
        <w:t>. The statements that are not historical facts contained in this report are</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 looking statements. These risks are detailed in our current Form 8-K fileed with the Securities and Exchange Commission on October 5, 2011. The words “believe”, “anticipate,” “expect”, “confident”, “project”, “provide”, “plan”, “likely”, “future”, “ongoing”, “intend”, :may”, :should”, :would”, “could”, “guidance” and similar expressions identify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29, 2011, NetFabric Holdings, Inc., a Delaware corporation (the “Company”), XCel Brands, Inc., a Delaware corporation (“Old XCel”), NetFabric Acquisition Corp., a Delaware corporation (“Acquisition Corp.”) and wholly-owned subsidiary of the Company, and certain stockholders of the Company entered into an Agreement of Merger and Plan of Reorganization (the “Merger Agreement”) pursuant to which Acquisition Corp. was merged with and into Old XCel, with Old XCel surviving as a wholly-owned subsidiary of the Company (the “Merger”). Immediately following the Merger, Old Xcel was merged with and into the Company (the “Short Form Merger”) and the Company changed its name to Xcel Brands, Inc.</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Old Xcel was incorporated in Delaware on September 23, 2010 for the purpose of acquiring the Isaac Mizrahi Business. On May 19, 2011, the Buyers entered into the Purchase Agreement with IM Ready, Isaac Mizrahi and Marisa Gardini, as amended, pursuant to which the Buyers acquired the Isaac Mizrahi Business in conjunction with the consummation of the Merger and Short Form Merger on September 29, 2011.</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our acquisition of the Isaac Mizrahi Business, the business was a division of IM Ready, separate and apart from IM Ready’s other business divisions. The Isaac Mizrahi Business is a licensing and design services business which consists of certain assets of IM Ready, including (i) the IM Trademarks, (ii) the license agreements between IM Ready and third parties related to the IM Trademarks, (iii) design agreements with Liz Claiborne and QVC to design the “Liz Claiborne New York” brand for sale exclusively at QVC, and (iv) computers, design software, and other assets related to the licensing and design of the IM Trademarks and the design of the Liz Claiborne New York brand. The Isaac Mizrahi Business’ model allows it to focus on its core competencies of managing, marketing and design services without many of the risks and investment requirements associated with a more traditional operating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financial condition is based on our financial statements. The Company has consolidated the Isaac Mizrahi Business effective September 29, 2011. Therefore the operating discussions in this section will cover our brief operating activities reported on our financial statements and separately report on Isaac Mizrahi Business up until the Closing Date with the unaudited financial statements of the Isaac Mizrahi Business (A Division of IM Ready-Made, LLC) that are annexed as an Exhibit to this Quarterly Report on Form 10-Q.</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Isaac Mizrahi Business accompanying statements present the assets, liabilities, revenues and expenses related to the historical operations of the Isaac Mizrahi Business on a carve-out basis in conformity with accounting principles generally accepted in the United States of America (“GAAP”) and derived from the accounting records of IM Ready-Made, LLC (“IM Ready”). The Isaac Mizrahi Business is not a separate legal entity, thus the financial statements are not necessarily indicative of the results of operations that would have occurred if the Isaac Mizrahi Business had been operated as a separate legal entity or as part of Xcel.</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reported amounts of assets, liabilities and expenses. We based our estimates on historical experience and on various other assumptions that we believe to be reasonable under the circumstances, the results of which form the basis for making judgments that are not readily apparent from other sources. Actual results may differ from these estimates under different assumptions or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is recognized when earned and recorded in the applicable period or date. The Company’s policy is to analyze all revenue sources and understand the nature and structure of these revenue sources and identify the related events, in management’s judgment, that satisfies revenue recognition standards.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primary business is licensing and managing the Isaac Mizrahi brand and namesake. The Isaac Mizrahi Business provides the use of its proprietary trademarks and design and style guide services to third parties (the “Licensees”). The Isaac Mizrahi Business does not own inventory and does not assume any liabilities or obligations of its licensees.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Isaac Mizrahi Business has two types of revenues. The first is royalty based on product sales and the other is design service fees based on services provided.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Royalty revenue recognition is based on minimum royalties and revenues in excess of the minimum (or all royalties under an agreement which does not provide for minimum royalties) based on a percentage of defined sales. Minimum royalty revenue is recognized on a straight-line basis over each period, as defined in each license agreement. Royalties in the asbsent of or exceeding the defined minimum amounts are recognized as income during the period that corresponds to the licensee’s sales. The rationale for recording minimum royalty income on the straight-line is based on the obligations the Company has relating to the license agreements. In most cases, it is providing the use of trademarks and other intangible assets of the Company to its licensees.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Design service fees are recorded and recognized in accordance with the terms and conditions of each design fee contract, including the Isaac Mizrahi Business meeting its obligations and providing the relevant services under each contract. Generally this is recording on a straight line basis each base fee as stated in each design fee service agreement for the covered period and, if applicable recognizing additional payments in the period that it applies to. The rationale for recording design service fee income on the straight-line is based on annual even fixed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are carried at cost. Depreciation and amortization are computed on the straight-line method over the following estimated useful lives of the related assets, which range from three to seven years for equipment and furniture and leasehold improvements are amortized over the shorter of the economic useful life of the improvement or the lease period. Maintenance and repairs are charged to operations, while betterments and improvements are capitalized.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income tax rate for the Current Nine Months is approximately 30%. The Company has a net operating loss that we expect to have economic future tax benefits. The Company has fully reserved against this benefit and accordingly has recorded current tax expense of $1,311 and $1,136 for the nine months and three months ended September 30, 2011,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 – Xcel Brands, Inc. and subsidiary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operated the Isaac Mizrahi Business for 2 days ended September 30, 2011. The Company had no activity prior to September 30, 2010. Revenue for the three months and nine months ended September 30, 2011 were approximately $47,000, with the revenues generated from the newly acquired Isaac Mizrahi Business. The Company had a net loss of approximately $1,015,000 and $1,407,000 for the three months and nine months ended September 30, 2011, respectively. The operating loss for the three months and nine months ended September 30, 2011 were approximately $1,435,000 and $1,826,000, respectively.</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loss includes $747,000 of stock based compensation and $621,000 of acquisition costs and due diligence expenses for the three months ended September 30, 2011 and $747,000 of stock based compensation of $952,000 of acquisition costs and due diligence expenses for the nine months ended September 30, 2011.</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acquisition of the Isaac Mizrahi Business, the Company recognized a bargain purchase price gain of $433,000. The Company recorded interest expense for the 2 days ended September 30, 2011. Interest expense is recorded in connection with the Company’s $13.5 million principal amount term loan which brears interest at 8.5% interest rate per annum. Other interest and finance charges were imputed interest and deferred finance amortization. The combined interest expense amount for the three months and nine months ended September 30, 2011 was $13,000 for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 – Isaac Mizrahi Business (A Division of IM Ready-Made,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September 28, 2011}</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Isaac Mizrahi Business financial statements titled “IM Licensing Business (A Division of IM Ready-Made, LLC)” or “IM Licensing Business” is presented for the periods July 1, 2011 through September 28, 2011 and January 1, 2011 through September 28, 2011, and compared with the prior three months and nine months ended September 30, 2011. The periods beginning July 1, 2011 and January 1, 2011 will be referred in this section as the three months ended and nine months ended, September 28, 2011,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The IM Licensing Business had net income of $1,202,000 for the three months September 28, 2011 as compared to $1,777,000 for the three months ended September 30, 2010.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 Licensing Business had net income of $3,922,000 for the nine months ended September 28, 2011 as compared $3,037,000 for the nine months ended September 30, 2010.</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 for the Three Months Ended September 28, 2011 Compared to the Three Months Ended September 30, 2010</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 Licensing and design service fees for the three months ended September 28, 2011decreased to $2,829,000 from $3,208,000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2010. The decrease in revenue was mostly attributable to discontinued use of Company sourced products for sale through the QVC platform at the end of 2010. Vendor royalty payments for the three months ended September 30, 2010 were $334,000 compared with $5,000 for the three months ended September 28, 2011. The 2 days ended September 30, 2011 resulted in $47,000 of revenue recognized by Xcel.</w:t>
      </w:r>
    </w:p>
    <w:p>
      <w:pPr>
        <w:spacing w:after="0" w:line="171" w:lineRule="exact"/>
        <w:rPr>
          <w:sz w:val="20"/>
          <w:szCs w:val="20"/>
          <w:color w:val="auto"/>
        </w:rPr>
      </w:pPr>
    </w:p>
    <w:p>
      <w:pPr>
        <w:jc w:val="both"/>
        <w:ind w:firstLine="45"/>
        <w:spacing w:after="0" w:line="27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 Total expenses for the three months ended September 28, 2011 increased to $1,504,000 from $1,352,000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increase in expenses was the increase in expenses related to the servicing of the license agreement with QVC caused by increased product sales volume. This cost was $146,000 higher for the three months ended September 28, 2011 than it was for the three months ended September 30, 2010. In addition, salaries increased by $42,000, rent increased by $15,000 and professional fees increased by $25,000 for the three months ended September 28, 2011 compared to September 30, 2010.</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salaries increased by 11% primarily due to increased staffing needs for the increased volume in the licensing business and change from reliance on vendors to internal personnel.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Base rent increased by almost $4,000 per month from the prior year. Other rent payments make up the balance of the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increase was mostly attributable to legal fees relating to trademark matters and the sale of the Isaac Mizrahi Business.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costs decreased by $4,000 for the three months ended September 28, 2011 compared with the three months ended September 30,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expenses remained flat at approximately $70,000 for each six month period.</w:t>
      </w:r>
    </w:p>
    <w:p>
      <w:pPr>
        <w:spacing w:after="0" w:line="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taxes were higher for the three months ended September 30, 2010 by virtue of higher net income compared to the three months ended September 28, 2011.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Nine Months Ended September 28, 2011 Compared to the Nine Months Ended September 30, 2010</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 Licensing and design service fees for the nine months ended September 28, 2011 increased to $8,618,000 from $6,729,000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2010. The increase in revenue was mostly attributable to increased royalties of $2,708,000 and $408,000 under the QVC license and Liz Claiborne license, respectively. This was partly offset by a decrease in vendor royalty payments for the nine months ended September 28, 2011 by $1,220,000 compared the nine months ended September 30, 2010. The 2 days ended September 30, 2011 resulted in $47,000 of revenues recognized by Xcel.</w:t>
      </w:r>
    </w:p>
    <w:p>
      <w:pPr>
        <w:spacing w:after="0" w:line="154" w:lineRule="exact"/>
        <w:rPr>
          <w:sz w:val="20"/>
          <w:szCs w:val="20"/>
          <w:color w:val="auto"/>
        </w:rPr>
      </w:pPr>
    </w:p>
    <w:p>
      <w:pPr>
        <w:jc w:val="both"/>
        <w:ind w:right="20" w:firstLine="45"/>
        <w:spacing w:after="0" w:line="277"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 Total expenses for the nine months ended September 28, 2011 increased to $4,524,000 from $3,560,000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2010.</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primary increase in expenses was the increase in expenses related to the servicing of the license agreement with QVC. This cost was $863,000 higher for the nine months ended September 28, 2011 than it was for the nine months ended September 30, 2010. In addition salaries increased by $87,000, rent increased by $44,000 and professional fees increased by $71,000 for the nine months ended September 28, 2011 compared to September 30,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salaries increased by 7% primarily due to increased staffing needs for the increased volume in the licensing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 rent increased by almost $4,000 per month from the prior year. Other rent payments make up the balance of the increase.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Professional fee increase is mostly attributable to legal fees relating to trademark matters and legal fees relating to the sale of the Isaac Mizrahi Business.</w:t>
      </w:r>
    </w:p>
    <w:p>
      <w:pPr>
        <w:spacing w:after="0" w:line="26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Administrative costs decreased by $100,000 for the nine months ended September 28, 2011 compared with the three months ended September 30, 2010. This was the result of eliminating unnecessary costs and operating more efficiently.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expenses remained flat at approximately $210,000 for each nine month period.</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taxes were higher for the three months ended September 28, 2011 by virtue of higher net income compared to the nine months ended September 30, 2010.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Trend information discussion: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Isaac Mizrahi Business has reported $8.6 million of revenues and $4.0 million of operating margin and $6.7 million of revenues and $3.2 million of operating margin for the nine months ended September 28, 2011 and September 30, 2010, respectively. Included in these revenues for the nine months ended September 28, 2011 and September 30, 2010 is amortized revenue of $2.2 million and $2.3 million, respectively. These amortized revenues are derived from advance payments received and recognized as revenue on a straight line basis over the life of the corresponding license agreement.</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Likewise, there were prepaid expenses relating to a portion of these deferred revenues. The amount of expense relating to the prepaid servicing of these revenues was $520,000 and nil for the nine months ended September 28, 2011 and nine months ended September 30, 2010, respectively.</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acquisition, Xcel did not recognize or assume any value for the advance balances or prepaid expense because Xcel is not receiving the economic benefit, there is no basis for recognizing revenue going forward from prior advance payments received and retained by IM Ready.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beginning of 2010 the Isaac Mizrahi Business has moved towards higher royalty revenues and less design service fees. Royalty revenues have been primarily dependent on product sales on QVC. Following the acquisition of the Isaac Mizrahi brand by the Company, new license agreements became effective for the Isaac Mizrahi brand, which are expected to increase overall revenues. In addition, the Company is looking to expand product offerings and increase licensed royalty revenue by adding new product categories and entering into new licensed agreements. As the Company adds new licenses it will reduce QVC licensed revenue concentration.</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expects revenues to increase from the amounts reported by the Isaac Mizrahi Business, without the inclusion of amortized revenues, based on expected further increasing sales volume of our current licensees and new license agreements taking effect following the aquisition.</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operating expense will have a different structure than Isaac Mizrahi Business operated under. The Earthbound service fee is replaced by an in-house design and management team. Based on anticipated levels of revenue, Xcel expects that its internal costs, including executive and employee compensation will be substantially equivalent to the amounts previously incurred by the Issac Mizrahi Business, including the amounts paid to Earthbound.</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the Closing Consideration and the escrowed funds, IM Ready will be eligible to earn additional shares of Common Stock with a value of up to $7,500,000 (the “Earn-Out Value”) each year for the four consecutive years after the Closing Date, with the number of shares to be issued based upon the greater of (i) $4.50 and (ii) average stock price for the last twenty days in such period and with such earn-out payment contingent upon the Isaac Mizrahi Business achieving the royalty targets set forth below during those years.</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dollar value of the stock the Company is required to issue increases from $3,000,000 if net royalty income of the Isaac Mizrahi Business exceeds 40% of the royalty target up to $7,500,000 if the royalty target is met or exceeded. The royalty targets are $16,000,000, $20,000,000, $22,000,000 and $24,000,000 for the four years following the acquisition.</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Management has analyzed and quantified the expected earn out payments over the four years following the acquisition. This amount has been recorded as a long-term obligation, discounted by 9.25%, (the Company’s estimated borrowing rate) and will record the difference as imputed interest expense in each period subsequent to the expected payment. The Earn-Out Value is payable solely in stock. Management will assess no less frequent than 2 times per year the status of this contingent obligations. Any change in the expected obligation will result in an expense or income in the period in which it is determined fair market value of the carrying value has changed. The Earn-Out Value is payable solely in stock.</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termination of the Earthbound Agreement is expected to have minimal effect on direct expenses and operating margins for the short term. Direct expense savings will be realized by the Company as license royalty revenues increase and the incremental direct costs are expected to be minimal compared with the fee structure under the Earthbound Agreement.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principal capital requirements have been to fund working capital needs, and to a lesser extent, capital expenditures. At September 30, 2011 and December 31, 2010, our unrestricted cash totaled $4,128,000 and nil, respectively. We believe that cash from future operations as well as currently available cash will be sufficient to satisfy our anticipated working capital requirements for the foreseeable future, which takes into account the debt service of our $13.5 million Term Loan and our real property lease obligation and to make necessary upgrades to the Company’s infrastructure and technology.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Company’s business model does not require significant capital expenditures nor does it require the Company to advance expenses such as inventory.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Our term loan facility requires us to repay current interest quarterly at 8.5% per annum. Principal payments are not required until 2013.</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September 29, 2011 cash flow requirements for the Isaac Mizrahi Business were funded by IM Ready, and cash management functions were not performed at the Isaac Mizrahi Business level. The Isaac Mizrahi Business did not maintain a separate cash account and it is not possible to determine the cash flows directly attributable to the Isaac Mizrahi Business.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$755,000 for the nine months ended September 30, 2011. The Company’s largest expense $952,000, was related to acquisition and due diligence costs of the acquisition of the Isaac Mizrahi Business. The Company operated the Issac Mizrahi Business for only two days for the Nine months ended September 30, 2011. There are no comparable results for the prior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investing activities was $11,849,000 for the nine months ended September 30, 2011. The use of cash related to the acquisition of the Isaac Mizrahi Business, including paying $10,174,000 to IM Ready and $1,500,000 of IM Ready assumed obligation of on September 29, 2011 (the “Closing Date”) The Company also has reserved $175,000 as security for the Company’s real property lease. There are no comparable results for the prior period.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was $16,732,000 for the nine months ended September 30, 2011. The Company received $13,500,000 in proceeds from senior term loan on the Closing Date. For the nine months ended September 30, 2011, the Company received $4,305,000 from the issuance of common stock on the Closing Date. The Company incurred deferred finance costs and expenses related to equity and recapitalization of $611,000, and 463,000, respectively. There are no comparable results for the prior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filed or submitted under the Securities Exchange Act of 1934 (the "Exchange Act") is recorded, processed, summarized and reported, within the time period specified in the SEC's rules and forms. Disclosure controls and procedures include, without limitation, controls and procedures designed to ensure that information required to be disclosed in the reports filed under the Exchange Act are accumulated and communicated to management, including our Chief Executive Officer ("CEO") and Chief Financial Officer ("CFO") , as appropriate, to allow timely decisions regarding required disclosure. As of the end of the period covered by this report, we carried out an evaluation, under the supervision and with participation of our management, including our CEO and CFO, of the effectiveness of the design and operation of our disclosure controls and procedures. Based upon and as of September 30, 2011, the date of that evaluation, the CEO and CFO concluded that our disclosure controls and procedures are effective to ensure that information required to be disclosed in the reports we file and submit under the Exchange Act are recorded, processed, summarized and reported as and when required.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ind w:left="43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Previously reported on the Company’s current report in Form 8-K filed with the Securities and Exchange Commission on October 5, 2011.</w:t>
      </w:r>
    </w:p>
    <w:p>
      <w:pPr>
        <w:spacing w:after="0" w:line="200" w:lineRule="exact"/>
        <w:rPr>
          <w:sz w:val="20"/>
          <w:szCs w:val="20"/>
          <w:color w:val="auto"/>
        </w:rPr>
      </w:pPr>
    </w:p>
    <w:p>
      <w:pPr>
        <w:spacing w:after="0" w:line="22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5.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99.1 Isaac Mizrahi Business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7" w:name="page28"/>
    <w:bookmarkEnd w:id="27"/>
    <w:p>
      <w:pPr>
        <w:jc w:val="center"/>
        <w:ind w:right="-8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9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November 21,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Robert W. D’Loren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James Haran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 and Vice President</w:t>
      </w:r>
    </w:p>
    <w:p>
      <w:pPr>
        <w:spacing w:after="0" w:line="38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86" w:right="10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2011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November 21,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Robert W. D’Loren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right="4040"/>
        <w:spacing w:after="0" w:line="282" w:lineRule="auto"/>
        <w:rPr>
          <w:sz w:val="20"/>
          <w:szCs w:val="20"/>
          <w:color w:val="auto"/>
        </w:rPr>
      </w:pPr>
      <w:r>
        <w:rPr>
          <w:rFonts w:ascii="Arial" w:cs="Arial" w:eastAsia="Arial" w:hAnsi="Arial"/>
          <w:sz w:val="18"/>
          <w:szCs w:val="18"/>
          <w:b w:val="1"/>
          <w:bCs w:val="1"/>
          <w:color w:val="auto"/>
        </w:rPr>
        <w:t xml:space="preserve">CERTIFICATION PURSUANT TO 18 U.S.C. SECTION 1350, AS ADOPTED PURSUANT TO </w:t>
      </w:r>
      <w:r>
        <w:rPr>
          <w:rFonts w:ascii="Arial" w:cs="Arial" w:eastAsia="Arial" w:hAnsi="Arial"/>
          <w:sz w:val="18"/>
          <w:szCs w:val="18"/>
          <w:color w:val="auto"/>
        </w:rPr>
        <w:t>SECTION 302 OF THE SARBANES 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2011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firstLine="8"/>
        <w:spacing w:after="0" w:line="277"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8"/>
        <w:spacing w:after="0" w:line="264"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November 21,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James Haran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2011 as filed with the Securities and Exchange Commission on the date hereof (the “Report”), I, Cristiano Germinario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November 21,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Robert W. D’Loren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June 30, 2011 as filed with the Securities and Exchange Commission on the date hereof (the “Report”), I, Vasan Thatham,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November 21,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James Haran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Isaac Mizrahi Business (A Division of Im Ready-Made,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September 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5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w:t>
            </w:r>
          </w:p>
        </w:tc>
        <w:tc>
          <w:tcPr>
            <w:tcW w:w="4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5,020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1,840,111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1,768,403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535,966</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1,055,587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2,396,096</w:t>
            </w: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2,849,517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460" w:type="dxa"/>
            <w:vAlign w:val="bottom"/>
            <w:tcBorders>
              <w:top w:val="single" w:sz="8" w:color="CCFFCC"/>
            </w:tcBorders>
          </w:tcPr>
          <w:p>
            <w:pPr>
              <w:spacing w:after="0"/>
              <w:rPr>
                <w:sz w:val="18"/>
                <w:szCs w:val="18"/>
                <w:color w:val="auto"/>
              </w:rPr>
            </w:pPr>
          </w:p>
        </w:tc>
        <w:tc>
          <w:tcPr>
            <w:tcW w:w="54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Leasehold improvements, furniture &amp; equipment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2,735,558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2,735,558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1,511,278</w:t>
            </w:r>
          </w:p>
        </w:tc>
        <w:tc>
          <w:tcPr>
            <w:tcW w:w="14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1,300,607</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1,224,280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1,434,951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3,620,376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4,284,468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Parent's Equity in Unit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786,801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605,185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Advance payable</w:t>
            </w:r>
          </w:p>
        </w:tc>
        <w:tc>
          <w:tcPr>
            <w:tcW w:w="16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2,286,801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2,105,185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Deferred royalties payments</w:t>
            </w:r>
          </w:p>
        </w:tc>
        <w:tc>
          <w:tcPr>
            <w:tcW w:w="16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7,125,426</w:t>
            </w:r>
          </w:p>
        </w:tc>
        <w:tc>
          <w:tcPr>
            <w:tcW w:w="14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9,395,570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3"/>
          </w:tcPr>
          <w:p>
            <w:pPr>
              <w:ind w:left="320"/>
              <w:spacing w:after="0"/>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7,125,426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9,395,570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9,412,227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11,500,755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Parent's Equity in Unit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(5,791,851)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(7,216,287)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60" w:type="dxa"/>
            <w:vAlign w:val="bottom"/>
            <w:shd w:val="clear" w:color="auto" w:fill="CCFFCC"/>
          </w:tcPr>
          <w:p>
            <w:pPr>
              <w:spacing w:after="0"/>
              <w:rPr>
                <w:sz w:val="18"/>
                <w:szCs w:val="18"/>
                <w:color w:val="auto"/>
              </w:rPr>
            </w:pPr>
          </w:p>
        </w:tc>
        <w:tc>
          <w:tcPr>
            <w:tcW w:w="5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Total Liabilities and Parent's Equity in Unit</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3,620,376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4,284,468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80" w:type="dxa"/>
            <w:vAlign w:val="bottom"/>
            <w:vMerge w:val="restart"/>
          </w:tcPr>
          <w:p>
            <w:pPr>
              <w:ind w:left="220"/>
              <w:spacing w:after="0"/>
              <w:rPr>
                <w:sz w:val="20"/>
                <w:szCs w:val="20"/>
                <w:color w:val="auto"/>
              </w:rPr>
            </w:pPr>
            <w:r>
              <w:rPr>
                <w:rFonts w:ascii="Arial" w:cs="Arial" w:eastAsia="Arial" w:hAnsi="Arial"/>
                <w:sz w:val="18"/>
                <w:szCs w:val="18"/>
                <w:color w:val="auto"/>
                <w:w w:val="91"/>
              </w:rPr>
              <w:t>See Notes to Unaudited Condensed Consolidated Financial Statements</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Isaac Mizrahi Business (A Division of Im Ready-Made,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For the Period July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For the Period</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1, 2011 to</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Ended September</w:t>
            </w:r>
          </w:p>
        </w:tc>
        <w:tc>
          <w:tcPr>
            <w:tcW w:w="10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January 1, 2011 to</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8"/>
              </w:rPr>
              <w:t>September 28, 2011</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30, 2010</w:t>
            </w:r>
          </w:p>
        </w:tc>
        <w:tc>
          <w:tcPr>
            <w:tcW w:w="100" w:type="dxa"/>
            <w:vAlign w:val="bottom"/>
          </w:tcPr>
          <w:p>
            <w:pPr>
              <w:spacing w:after="0"/>
              <w:rPr>
                <w:sz w:val="20"/>
                <w:szCs w:val="20"/>
                <w:color w:val="auto"/>
              </w:rPr>
            </w:pPr>
          </w:p>
        </w:tc>
        <w:tc>
          <w:tcPr>
            <w:tcW w:w="180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September 28, 2011</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September 30,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License &amp; design revenues</w:t>
            </w:r>
          </w:p>
        </w:tc>
        <w:tc>
          <w:tcPr>
            <w:tcW w:w="2420" w:type="dxa"/>
            <w:vAlign w:val="bottom"/>
            <w:gridSpan w:val="2"/>
            <w:shd w:val="clear" w:color="auto" w:fill="CCFFCC"/>
          </w:tcPr>
          <w:p>
            <w:pPr>
              <w:ind w:left="21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2,828,830</w:t>
            </w:r>
          </w:p>
        </w:tc>
        <w:tc>
          <w:tcPr>
            <w:tcW w:w="1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3,207,645</w:t>
            </w:r>
          </w:p>
        </w:tc>
        <w:tc>
          <w:tcPr>
            <w:tcW w:w="5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8,617,748</w:t>
            </w:r>
          </w:p>
        </w:tc>
        <w:tc>
          <w:tcPr>
            <w:tcW w:w="22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6,729,490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FFCC"/>
            </w:tcBorders>
          </w:tcPr>
          <w:p>
            <w:pPr>
              <w:spacing w:after="0"/>
              <w:rPr>
                <w:sz w:val="18"/>
                <w:szCs w:val="18"/>
                <w:color w:val="auto"/>
              </w:rPr>
            </w:pPr>
          </w:p>
        </w:tc>
        <w:tc>
          <w:tcPr>
            <w:tcW w:w="21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2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Operating &amp; administrative</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1,504,315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1,282,046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4,314,147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3,350,310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w:t>
            </w:r>
          </w:p>
        </w:tc>
        <w:tc>
          <w:tcPr>
            <w:tcW w:w="2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210,671</w:t>
            </w:r>
          </w:p>
        </w:tc>
        <w:tc>
          <w:tcPr>
            <w:tcW w:w="4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shd w:val="clear" w:color="auto" w:fill="CCFFCC"/>
          </w:tcPr>
          <w:p>
            <w:pPr>
              <w:spacing w:after="0"/>
              <w:rPr>
                <w:sz w:val="2"/>
                <w:szCs w:val="2"/>
                <w:color w:val="auto"/>
              </w:rPr>
            </w:pPr>
          </w:p>
        </w:tc>
        <w:tc>
          <w:tcPr>
            <w:tcW w:w="21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tcBorders>
              <w:right w:val="single" w:sz="8" w:color="CCFFCC"/>
            </w:tcBorders>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1,574,315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1,352,046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4,524,818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3,560,310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Operating income</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1,254,515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1,855,599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4,092,930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3,169,180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tcBorders>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City income taxes</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52,393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169,940</w:t>
            </w:r>
          </w:p>
        </w:tc>
        <w:tc>
          <w:tcPr>
            <w:tcW w:w="4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132,217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21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60" w:type="dxa"/>
            <w:vAlign w:val="bottom"/>
            <w:tcBorders>
              <w:top w:val="single" w:sz="8" w:color="auto"/>
              <w:right w:val="single" w:sz="8" w:color="CCFFCC"/>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income</w:t>
            </w:r>
          </w:p>
        </w:tc>
        <w:tc>
          <w:tcPr>
            <w:tcW w:w="2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1,202,122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1,777,005</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3,922,990</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3,036,963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880" w:type="dxa"/>
            <w:vAlign w:val="bottom"/>
            <w:gridSpan w:val="9"/>
          </w:tcPr>
          <w:p>
            <w:pPr>
              <w:ind w:left="500"/>
              <w:spacing w:after="0"/>
              <w:rPr>
                <w:sz w:val="20"/>
                <w:szCs w:val="20"/>
                <w:color w:val="auto"/>
              </w:rPr>
            </w:pPr>
            <w:r>
              <w:rPr>
                <w:rFonts w:ascii="Arial" w:cs="Arial" w:eastAsia="Arial" w:hAnsi="Arial"/>
                <w:sz w:val="18"/>
                <w:szCs w:val="18"/>
                <w:color w:val="auto"/>
                <w:w w:val="93"/>
              </w:rPr>
              <w:t>See Notes to Unaudited Condensed Consolidated Financial Statements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Isaac Mizrahi Business (A Division of Im Ready-Made,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Parent's Equity in Unit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Parent's Equity in Unit, January 1, 2010</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(2,854,792)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3,036,963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Less: Member distributions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(6,849,234)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Parent's Equity in Unit, September 30, 2010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(6,667,063)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1,751,438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shd w:val="clear" w:color="auto" w:fill="CCFFCC"/>
          </w:tcPr>
          <w:p>
            <w:pPr>
              <w:spacing w:after="0"/>
              <w:rPr>
                <w:sz w:val="20"/>
                <w:szCs w:val="20"/>
                <w:color w:val="auto"/>
              </w:rPr>
            </w:pPr>
            <w:r>
              <w:rPr>
                <w:rFonts w:ascii="Arial" w:cs="Arial" w:eastAsia="Arial" w:hAnsi="Arial"/>
                <w:sz w:val="18"/>
                <w:szCs w:val="18"/>
                <w:color w:val="auto"/>
              </w:rPr>
              <w:t>Less: Member distributions</w:t>
            </w:r>
          </w:p>
        </w:tc>
        <w:tc>
          <w:tcPr>
            <w:tcW w:w="9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(2,300,662)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Parent's Equity in Unit, December 31, 2010</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(7,216,287)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tcBorders>
              <w:top w:val="single" w:sz="8" w:color="CCFFCC"/>
            </w:tcBorders>
          </w:tcPr>
          <w:p>
            <w:pPr>
              <w:spacing w:after="0"/>
              <w:rPr>
                <w:sz w:val="18"/>
                <w:szCs w:val="18"/>
                <w:color w:val="auto"/>
              </w:rPr>
            </w:pPr>
          </w:p>
        </w:tc>
        <w:tc>
          <w:tcPr>
            <w:tcW w:w="90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3,922,990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Less: Member distributions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(2,498,554)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Parent's Equity in Unit, September 28, 2011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(5,791,851)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140" w:type="dxa"/>
            <w:vAlign w:val="bottom"/>
            <w:vMerge w:val="restart"/>
          </w:tcPr>
          <w:p>
            <w:pPr>
              <w:ind w:left="3140"/>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Isaac Mizrahi Business (A Division of Im Ready-Made, LLC)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 the Period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July 1, 2011 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September 28,</w:t>
            </w: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3,922,990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3,036,963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210,671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(71,708)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(1,517,659)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519,620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181,617</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Deferred royalty payments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(2,270,144)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1,152,174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2,478,047</w:t>
            </w:r>
          </w:p>
        </w:tc>
        <w:tc>
          <w:tcPr>
            <w:tcW w:w="140" w:type="dxa"/>
            <w:vAlign w:val="bottom"/>
            <w:tcBorders>
              <w:bottom w:val="single" w:sz="8" w:color="CCFFCC"/>
            </w:tcBorders>
            <w:shd w:val="clear" w:color="auto" w:fill="CCFFCC"/>
          </w:tcPr>
          <w:p>
            <w:pPr>
              <w:spacing w:after="0"/>
              <w:rPr>
                <w:sz w:val="19"/>
                <w:szCs w:val="19"/>
                <w:color w:val="auto"/>
              </w:rPr>
            </w:pPr>
          </w:p>
        </w:tc>
        <w:tc>
          <w:tcPr>
            <w:tcW w:w="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6,417,754</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provided by investing activities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8"/>
                <w:szCs w:val="18"/>
                <w:color w:val="auto"/>
              </w:rPr>
              <w:t>Purchase of fixed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Member distributions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(2,498,554)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(6,849,234)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(2,498,554)</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(6,849,234)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decrease in cash</w:t>
            </w:r>
          </w:p>
        </w:tc>
        <w:tc>
          <w:tcPr>
            <w:tcW w:w="1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(20,507)</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color w:val="auto"/>
              </w:rPr>
              <w:t>Cash, beginning of period</w:t>
            </w:r>
          </w:p>
        </w:tc>
        <w:tc>
          <w:tcPr>
            <w:tcW w:w="1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25,527</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554,256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400" w:type="dxa"/>
            <w:vAlign w:val="bottom"/>
            <w:shd w:val="clear" w:color="auto" w:fill="CCFFCC"/>
          </w:tcPr>
          <w:p>
            <w:pPr>
              <w:spacing w:after="0"/>
              <w:rPr>
                <w:sz w:val="20"/>
                <w:szCs w:val="20"/>
                <w:color w:val="auto"/>
              </w:rPr>
            </w:pPr>
            <w:r>
              <w:rPr>
                <w:rFonts w:ascii="Arial" w:cs="Arial" w:eastAsia="Arial" w:hAnsi="Arial"/>
                <w:sz w:val="18"/>
                <w:szCs w:val="18"/>
                <w:color w:val="auto"/>
              </w:rPr>
              <w:t>Cash, end of period</w:t>
            </w:r>
          </w:p>
        </w:tc>
        <w:tc>
          <w:tcPr>
            <w:tcW w:w="4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5,020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54,256</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400" w:type="dxa"/>
            <w:vAlign w:val="bottom"/>
            <w:tcBorders>
              <w:top w:val="single" w:sz="8" w:color="CCFFCC"/>
            </w:tcBorders>
          </w:tcPr>
          <w:p>
            <w:pPr>
              <w:ind w:left="3140"/>
              <w:spacing w:after="0"/>
              <w:rPr>
                <w:sz w:val="20"/>
                <w:szCs w:val="20"/>
                <w:color w:val="auto"/>
              </w:rPr>
            </w:pPr>
            <w:r>
              <w:rPr>
                <w:rFonts w:ascii="Arial" w:cs="Arial" w:eastAsia="Arial" w:hAnsi="Arial"/>
                <w:sz w:val="18"/>
                <w:szCs w:val="18"/>
                <w:color w:val="auto"/>
                <w:w w:val="91"/>
              </w:rPr>
              <w:t>See Notes to Unaudited Condensed Consolidated Financial Statements</w:t>
            </w:r>
          </w:p>
        </w:tc>
        <w:tc>
          <w:tcPr>
            <w:tcW w:w="16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84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ISAAC MIZRAHI BUSINESS (A Division of IM Ready-Made,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5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19, 2011, Xcel Brands, Inc. (“Xcel”) entered into an Asset Purchase Agreement (“Asset Purchase Agreement”) with IM Ready-Made, LLC, pursuant to which Xcel will acquire certain assets and assume certain liabilities of the Isaac Mizrahi Business (the “Licensing Business”) of IM Ready-Made, LLC. The Licensing Business is primarily engaged in licensing and managing the Isaac Mizrahi brand. The Licensing Business was acquired by Xcel on September 29,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accompanying financial statements present the historical operations of the Licensing Business on a carve-out basis in conformity with accounting principles generally accepted in the United States of America (“GAAP”) and derived from the accounting records of IM Ready-Made, LLC (“IM Ready”).</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have been prepared for the purpose of complying with the rules and regulations of the U.S. Securities and Exchange Commission. The License Business is not a separate legal entity, thus the financial statements are not necessarily indicative of the results of operations that would have occurred if the License Business had been operated as a separate legal entity. IM Ready-Made LLC net investment in the Licensing Business (“Parent’s Equity in Unit”) is shown in lieu of stockholders’ equity in the financial statements.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of the allocations and estimates in the accompanying financial statements for periods prior to September 29, 2011, are based on assumptions that IM Ready-Made, LLC and management believe are reasonable, and reasonably approximate the historical costs that the Licensing Business would have incurred as a separate entity. However, these allocations and estimates are not necessarily indicative of the costs and expenses that would have resulted if the Licensing Business had been operated as a separate entity. The allocation of expenses were made to comply with the guidance provided by SAB Topic 1B1, “Allocation of Expenses and Related Disclosure in Financial Statements of Subsidiaries, Divisions or Lesser Business Components of another Entity”</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Licensing Business‘ operations, cash position, and its cash flows for periods prior to the September 29, 2011 transaction may not be indicative of what they would have been had the Licensing Business been a stand-alone entity, nor are they necessarily indicative of what our operating results and cash flows may be in the future.</w:t>
      </w:r>
    </w:p>
    <w:p>
      <w:pPr>
        <w:spacing w:after="0" w:line="20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interim financial information as of September 28, 2011 and for the period July 1, 2011 to September 28, 2011 and three months ended September 30, 2010 and for the period January 1, 2011 to September 28, 2011 and nine months ended September 30, 2010 is unaudited and has been prepared on the same basis as the audited financial statements. In the opinion of management, such unaudited financial information includes all adjustments (consisting only of normal recurring adjustments) necessary for a fair presentation of the interim information. Operating results for the period January 1, 2011 to September 28, 2011 are not necessarily indicative of the results that may be expected for the year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ISAAC MIZRAHI BUSINESS (A Division of IM Ready-Made,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 of revenues and expenses during the reporting periods.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recorded at net realizable vales. When necessary, the Company maintains an allowance for estimated losses resulting from the inability of customers to make required payments. Receivables are charged off against the reserve when they are deemed uncollectible. As of September 28, 2011 and December 31, 2010, the Company has not reserved for any uncollectible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are recorded at cost. Depreciation and amortization are determined using the straight-line method over the estimated useful lives of the assets, generally 5 to 7 years for furniture and fixtures, computer equipment and software. Leasehold improvements are amortized over the shorter of the economic useful life of the improvement or the lease period. Maintenance and repairs are charged to operations, while betterments and improvements are capitalized.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License Business reviews long-lived assets, including intangible assets, for impairment whenever events or changes in circumstances indicate that the carrying amount of an asset may not be fully recoverable. If an impairment indicator is present, the Company evaluates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License Business earns royalty revenues by exploiting intangible assets to third parties, commonly referred to as “licenses”. Royalties are derived from wholesale and/or retail product sales generated by third-party licensees. Revenues earned from license agreements are determined by the greater of (i) the product contracted royalty rates and product sales or (ii) guaranteed minimum royalties, if applicable. The License Business recognizes revenues from licensees whose sales exceed contractual minimums when its licenses are sold or sales are reported for these licensed products. For licensees whose sales do not exceed contractual sales minimums, the License Business recognizes licensing revenues ratably based on contractual minimums.</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royalty revenues, the License Business receives design service fees for services provided to licensees, separate and in addition to royalties. Design service fees are recorded and recognized in accordance with the terms and conditions of each design fee contract. This includes recording on a straight-line basis each base fee as stated in each design fee service contract, and recognizing additional payments in the period that it applies.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Rent is charged to operations by amortizing the minimum rent payments over the term of the lease, using the straight-line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ISAAC MIZRAHI BUSINESS (A Division of IM Ready-Made,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 Ready-Made, LLC is a limited liability company, and treated as a partnership for income tax reporting purposes. The Internal Revenue Code (“IRC”) provides that any income or loss is passed through to the members for federal and state income tax purposes. Accordingly, IM Ready-Made, LLC nor its unincorporated Licensing Business division has provided for federal or state income taxes. IM Ready-Made, LLC is subject to New York City unincorporated business taxes. The Licensing business has provided for these taxes with an effective tax rate of 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License Business’s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7900" w:type="dxa"/>
            <w:vAlign w:val="bottom"/>
          </w:tcPr>
          <w:p>
            <w:pPr>
              <w:ind w:left="100"/>
              <w:spacing w:after="0"/>
              <w:rPr>
                <w:sz w:val="20"/>
                <w:szCs w:val="20"/>
                <w:color w:val="auto"/>
              </w:rPr>
            </w:pPr>
            <w:r>
              <w:rPr>
                <w:rFonts w:ascii="Arial" w:cs="Arial" w:eastAsia="Arial" w:hAnsi="Arial"/>
                <w:sz w:val="18"/>
                <w:szCs w:val="18"/>
                <w:b w:val="1"/>
                <w:bCs w:val="1"/>
                <w:color w:val="auto"/>
              </w:rPr>
              <w:t>Property and equipment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gridSpan w:val="3"/>
          </w:tcPr>
          <w:p>
            <w:pPr>
              <w:spacing w:after="0"/>
              <w:rPr>
                <w:sz w:val="20"/>
                <w:szCs w:val="20"/>
                <w:color w:val="auto"/>
              </w:rPr>
            </w:pPr>
            <w:r>
              <w:rPr>
                <w:rFonts w:ascii="Arial" w:cs="Arial" w:eastAsia="Arial" w:hAnsi="Arial"/>
                <w:sz w:val="18"/>
                <w:szCs w:val="18"/>
                <w:color w:val="auto"/>
                <w:w w:val="99"/>
              </w:rPr>
              <w:t>At September 28, 2011 and December 31, 2010, property and equipment is comprised of the following:</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28, 2011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31, 2010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Furniture and fixtures</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42,000</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2,664,000</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9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2,736,000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2,736,000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2"/>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(1,512,000)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(1,301,000)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1,224,000</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9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7900" w:type="dxa"/>
            <w:vAlign w:val="bottom"/>
          </w:tcPr>
          <w:p>
            <w:pPr>
              <w:ind w:left="100"/>
              <w:spacing w:after="0"/>
              <w:rPr>
                <w:sz w:val="20"/>
                <w:szCs w:val="20"/>
                <w:color w:val="auto"/>
              </w:rPr>
            </w:pPr>
            <w:r>
              <w:rPr>
                <w:rFonts w:ascii="Arial" w:cs="Arial" w:eastAsia="Arial" w:hAnsi="Arial"/>
                <w:sz w:val="18"/>
                <w:szCs w:val="18"/>
                <w:b w:val="1"/>
                <w:bCs w:val="1"/>
                <w:color w:val="auto"/>
              </w:rPr>
              <w:t>Commitments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License Business has a non-cancelable operating lease agreement for its office facility. A summary of the lease commitments under the non-cancelable lease for years ending subsequent to December 31, 2010, are approximately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2011</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512,000</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527,000</w:t>
            </w:r>
          </w:p>
        </w:tc>
      </w:tr>
      <w:tr>
        <w:trPr>
          <w:trHeight w:val="216"/>
        </w:trPr>
        <w:tc>
          <w:tcPr>
            <w:tcW w:w="20" w:type="dxa"/>
            <w:vAlign w:val="bottom"/>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543,000</w:t>
            </w: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578,000</w:t>
            </w:r>
          </w:p>
        </w:tc>
      </w:tr>
      <w:tr>
        <w:trPr>
          <w:trHeight w:val="216"/>
        </w:trPr>
        <w:tc>
          <w:tcPr>
            <w:tcW w:w="20" w:type="dxa"/>
            <w:vAlign w:val="bottom"/>
          </w:tcPr>
          <w:p>
            <w:pPr>
              <w:spacing w:after="0"/>
              <w:rPr>
                <w:sz w:val="18"/>
                <w:szCs w:val="18"/>
                <w:color w:val="auto"/>
              </w:rPr>
            </w:pPr>
          </w:p>
        </w:tc>
        <w:tc>
          <w:tcPr>
            <w:tcW w:w="1004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595,000</w:t>
            </w: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306,000</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0040" w:type="dxa"/>
            <w:vAlign w:val="bottom"/>
            <w:shd w:val="clear" w:color="auto" w:fill="CCFFCC"/>
          </w:tcPr>
          <w:p>
            <w:pPr>
              <w:spacing w:after="0"/>
              <w:rPr>
                <w:sz w:val="20"/>
                <w:szCs w:val="20"/>
                <w:color w:val="auto"/>
              </w:rPr>
            </w:pP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3,061,000</w:t>
            </w: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lease requires the License Business to pay additional rents by virtue of increases in the base taxes on the property. Additional rents have not been material. Rent expense for the License Business was approximately $452,000 and $407,000 for the period January 1, 2011 to September 28, 2011 and nine months ended September 30, 2010, respectively, and approximately $149,000 and $134,000 for the period July 1, 2011 to September 28, 2011 and three months ended September 30,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ISAAC MIZRAHI BUSINESS (A Division of IM Ready-Made,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28, 2011, the License Business has no outstanding purchase commitments with any equipment vendors.</w:t>
      </w:r>
    </w:p>
    <w:p>
      <w:pPr>
        <w:spacing w:after="0" w:line="24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 &amp; Concentration of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Liz Claiborne</w:t>
      </w:r>
    </w:p>
    <w:p>
      <w:pPr>
        <w:spacing w:after="0" w:line="27"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The License Business has a design service agreement with Liz Claiborne, Inc (“LC”) (the “LC Agreement”). LC manufactures, promote, markets, designs, and distributes Liz Claiborne products, which includes the use of Isaac Mizrahi’s name as designer. LC pays to the License Business a base fee plus a bonus fee based on operating performance. Isaac Mizrahi, the controlling Member of IM Ready-Made, LLC is a party to this agreement. The License Business commenced services under the LC Agreement January 2008 and was terminated and replaced with a new agreement October 2009. The revenue recognized by the License Business was approximately $2,348,000 and $1,936,000 for the period January 1, 2011 to September 28, 2011 and nine months ended September 30, 2010, respectively, and approximately $769,000 and $721,000 for the period July 1, 2011 to September 28, 2011 and three months ended September 30, 2010, respectively, respectively. For the almost nine months ended September 28 2011, this contract accounted for 27.2% of the Licensing Business revenues.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QVC</w:t>
      </w:r>
    </w:p>
    <w:p>
      <w:pPr>
        <w:spacing w:after="0" w:line="2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License Business has a licensing and design agreement with QVC, Inc, (“QVC”) a subsidiary of Liberty Interactive, Inc (LINTA) (the “QVC Agreement”). QVC promote, markets, designs, and distributes Isaac Mizrahi Live products (or other derivative licensed products) through various means and media. QVC pays to the License Business a royalty based on net retail sales or guaranteed minimum payments. The QVC Agreement commenced design activity in 2010 and the term expires September 2015. The revenue recognized by the License Business was approximately $5,436,000 and $2,728,000 for the period January 1, 2011 to September 28, 2011 and nine months ended September 30, 2010, respectively, and approximately $1,785,000 and $1,877,000 for the period July 1, 2011 to September 28, 2011 and three months ended September 30, 2010, respectively, respectively. For the almost nine months ended September 28 2011, this contract accounted for 63.1% of the Licensing Business revenues.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Liz Claiborne/QVC</w:t>
      </w:r>
    </w:p>
    <w:p>
      <w:pPr>
        <w:spacing w:after="0" w:line="27"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The License Business has a 3-party arrangement with QVC and LC. This includes a design service agreement with Liz Claiborne, Inc (“LC”) (the “LC Agreement 2”) whereby the License Business provides design services to LC and permits the use of Isaac Mizrahi’s name as designer. The License Business has an agreement with QVC to provide design services for the Liz Claiborne New York line (“LC-Design”). LC and QVC have entered into a license agreement for the design and distribution of product developed by QVC, LC and Isaac Mizrahi, exclusively to be sold through QVC (“Liz-QVC”). These agreements shall collectively be referred to as the LC/QVC agreements (“LC/QVC”). Isaac Mizrahi is a party each of these agreements. LC pays to the License Business 25% of the royalty revenue it receives from QVC. QVC pays to the License Business a base design fee of $1.1 million per annum. The LC-Design agreement commenced December 2009 and is in effect so as long as the Liz-QVC agreement is in effect. The LC Agreement 2 agreement commenced December 2009 and runs through July 2013. The revenue recognized by the License Business was approximately $819,000 and $825,000 for the period January 1, 2011 to September 28, 2011 and nine months ended September 30, 2010, respectively, and approximately $269,000 and $275,000 for the period July 1, 2011 to September 28, 2011 and three months ended September 30, 2010, respectively, respectively. For the almost nine months ended September 28 2011, this contract accounted for 9.5% of the Licensing Business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ISAAC MIZRAHI BUSINESS (A Division of IM Ready-Made,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Concentration</w:t>
      </w:r>
    </w:p>
    <w:p>
      <w:pPr>
        <w:spacing w:after="0" w:line="2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License Business relies on QVC directly, and indirectly for a majority of its revenue. This includes all of the revenue recognized from the QVC and from LC/QVC. The revenue the License Business receives from LC in accordance with LC Agreement 2 is dependent on QVC. The combined revenue dependent on QVC accounts for 99.7 and 99.8% of all revenue for the almost nine months and quarter ended September 30, 2011, respectively.</w:t>
      </w:r>
    </w:p>
    <w:p>
      <w:pPr>
        <w:spacing w:after="0" w:line="21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has performed an evaluation of subsequent events through November 12, 2011, the date of issuance of the financial statements, noting the following material events:</w:t>
      </w:r>
    </w:p>
    <w:p>
      <w:pPr>
        <w:spacing w:after="0" w:line="197" w:lineRule="exact"/>
        <w:rPr>
          <w:sz w:val="20"/>
          <w:szCs w:val="20"/>
          <w:color w:val="auto"/>
        </w:rPr>
      </w:pPr>
    </w:p>
    <w:p>
      <w:pPr>
        <w:ind w:right="140" w:firstLine="810"/>
        <w:spacing w:after="0" w:line="254" w:lineRule="auto"/>
        <w:rPr>
          <w:sz w:val="20"/>
          <w:szCs w:val="20"/>
          <w:color w:val="auto"/>
        </w:rPr>
      </w:pPr>
      <w:r>
        <w:rPr>
          <w:rFonts w:ascii="Arial" w:cs="Arial" w:eastAsia="Arial" w:hAnsi="Arial"/>
          <w:sz w:val="18"/>
          <w:szCs w:val="18"/>
          <w:color w:val="auto"/>
        </w:rPr>
        <w:t>On May 19, 2011, Xcel Brands, Inc (“Xcel”) and IM Brands, a wholly-owned subsidiary of XCel (together, the “Buyers”), entered into an asset purchase agreement, as amended (the “Purchase Agreement”), with IM Ready, Isaac Mizrahi and Marisa Gardini, pursuant to which the Buyers acquired certain assets of IM Ready, including (i) the “Isaac Mizrahi” brands (including the trademarks and brands “Isaac Mizrahi New York”, “Isaac Mizrahi” and “IsaacMizrahiLIVE”) (collectively, the “IM Trademarks”), (ii) the license agreements between IM Ready and certain third parties related to the IM Trademarks (together with the IM Trademarks, the “Isaac Mizrahi Business”), (iii) design agreements with Liz Claiborne and QVC to design the “Liz Claiborne New York” brand for sale exclusively at QVC and (iv) computers, design software, and other assets related to the licensing and design of the IM Trademarks and the design of the Liz Claiborne New York brand. The parties consummated the asset purchase contemplated by the Purchase Agreement on September 29, 2011.</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an agreement between IM Ready and Earthbound (the “Earthbound Agreement”), Earthbound had certain rights related to the IM Trademarks and provided certain design services for IM Ready. In connection with the consummation of the acquisition by the Company of the Isaac Mizrahi Business, XCel and Earthbound entered into a contribution agreement (the “Contribution Agreement”) pursuant to which, on the Closing Date, Earthbound contributed to the Company (i) the Earthbound Agreement and (ii) certain assets relating to the operation of the Isaac Mizrahi Business including archives, designs, certain intellectual property rights, software and equipment (the “Earthbound Assets”).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IM Ready and Earthbound entered into the Services Agreement pursuant to which Earthbound provided transitional services to IM Ready prior to the closing of the Merger, and for which Earthbound received from IM Ready $600,000 in cash on the Closing Date and IM Ready agreed to pay to Earthbound an additional payment of $1,500,000 (the “Future Payment”), with such amount payable over the next five years. Xcel assumed the obligations related to the Future Payment from IM Ready upon its acquisition of the Isaac Mizrahi Business.</w:t>
      </w:r>
    </w:p>
    <w:p>
      <w:pPr>
        <w:spacing w:after="0" w:line="214"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Pursuant to the Purchase Agreement, at the closing, the Buyers delivered (i) to IM Ready (a) $9,673,568 in cash, (b) a promissory note (the “Seller Note”) in the principal amount of $7,377,432 and (c) 2,759,000 shares of common stock of the Company, valued at $13,795,000 based on the Share Purchase Price (the “IM Ready Stock Consideration”), and (ii) to an escrow agent $500,000 that the escrow agent will pay to IM Ready upon resolution of certain obligations of IM Ready and Mizrahi (together, the “Closing Consideration”). The Company also pre-paid $122,568 of interest on the Seller Note on the Closing Date and agreed to include up to 1,200,000 of the shares of the IM Ready Stock Consideration in the registration statement which the Company has agreed to file to register for resale of the Shares and Warrant Shares of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1)"/>
      <w:numFmt w:val="decimal"/>
      <w:start w:val="2"/>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2"/>
    </w:lvl>
  </w:abstractNum>
  <w:abstractNum w:abstractNumId="21">
    <w:nsid w:val="2443A858"/>
    <w:multiLevelType w:val="hybridMultilevel"/>
    <w:lvl w:ilvl="0">
      <w:lvlJc w:val="left"/>
      <w:lvlText w:val="%1."/>
      <w:numFmt w:val="decimal"/>
      <w:start w:val="4"/>
    </w:lvl>
  </w:abstractNum>
  <w:abstractNum w:abstractNumId="22">
    <w:nsid w:val="2D1D5AE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2019-12-10T17:46:57Z</dcterms:created>
  <dcterms:modified xsi:type="dcterms:W3CDTF">2019-12-10T17:46:57Z</dcterms:modified>
</cp:coreProperties>
</file>