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620" w:hanging="198"/>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w:t>
      </w:r>
    </w:p>
    <w:p>
      <w:pPr>
        <w:spacing w:after="0" w:line="29" w:lineRule="exact"/>
        <w:rPr>
          <w:rFonts w:ascii="MS PGothic" w:cs="MS PGothic" w:eastAsia="MS PGothic" w:hAnsi="MS PGothic"/>
          <w:sz w:val="18"/>
          <w:szCs w:val="18"/>
          <w:color w:val="auto"/>
        </w:rPr>
      </w:pPr>
    </w:p>
    <w:p>
      <w:pPr>
        <w:ind w:left="5560"/>
        <w:spacing w:after="0"/>
        <w:rPr>
          <w:rFonts w:ascii="MS PGothic" w:cs="MS PGothic" w:eastAsia="MS PGothic" w:hAnsi="MS PGothic"/>
          <w:sz w:val="18"/>
          <w:szCs w:val="18"/>
          <w:color w:val="auto"/>
        </w:rPr>
      </w:pPr>
      <w:r>
        <w:rPr>
          <w:rFonts w:ascii="Arial" w:cs="Arial" w:eastAsia="Arial" w:hAnsi="Arial"/>
          <w:sz w:val="18"/>
          <w:szCs w:val="18"/>
          <w:color w:val="auto"/>
        </w:rPr>
        <w:t>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0-21419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5380" w:right="1680" w:hanging="3700"/>
        <w:spacing w:after="0" w:line="282" w:lineRule="auto"/>
        <w:tabs>
          <w:tab w:leader="none" w:pos="192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8"/>
              </w:rPr>
              <w:t>XCEL BRANDS, INC.</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910"/>
              <w:spacing w:after="0"/>
              <w:rPr>
                <w:sz w:val="20"/>
                <w:szCs w:val="20"/>
                <w:color w:val="auto"/>
              </w:rPr>
            </w:pPr>
            <w:r>
              <w:rPr>
                <w:rFonts w:ascii="Arial" w:cs="Arial" w:eastAsia="Arial" w:hAnsi="Arial"/>
                <w:sz w:val="18"/>
                <w:szCs w:val="18"/>
                <w:color w:val="auto"/>
                <w:w w:val="90"/>
              </w:rPr>
              <w:t>(Name of Registrant as specified in its charter)</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160" w:type="dxa"/>
            <w:vAlign w:val="bottom"/>
            <w:gridSpan w:val="4"/>
          </w:tcPr>
          <w:p>
            <w:pPr>
              <w:jc w:val="center"/>
              <w:ind w:right="3040"/>
              <w:spacing w:after="0"/>
              <w:rPr>
                <w:sz w:val="20"/>
                <w:szCs w:val="20"/>
                <w:color w:val="auto"/>
              </w:rPr>
            </w:pPr>
            <w:r>
              <w:rPr>
                <w:rFonts w:ascii="Arial" w:cs="Arial" w:eastAsia="Arial" w:hAnsi="Arial"/>
                <w:sz w:val="18"/>
                <w:szCs w:val="18"/>
                <w:color w:val="auto"/>
                <w:w w:val="89"/>
              </w:rPr>
              <w:t>Delaware</w:t>
            </w:r>
          </w:p>
        </w:tc>
        <w:tc>
          <w:tcPr>
            <w:tcW w:w="3240" w:type="dxa"/>
            <w:vAlign w:val="bottom"/>
            <w:gridSpan w:val="3"/>
          </w:tcPr>
          <w:p>
            <w:pPr>
              <w:jc w:val="center"/>
              <w:ind w:right="1810"/>
              <w:spacing w:after="0"/>
              <w:rPr>
                <w:sz w:val="20"/>
                <w:szCs w:val="20"/>
                <w:color w:val="auto"/>
              </w:rPr>
            </w:pPr>
            <w:r>
              <w:rPr>
                <w:rFonts w:ascii="Arial" w:cs="Arial" w:eastAsia="Arial" w:hAnsi="Arial"/>
                <w:sz w:val="18"/>
                <w:szCs w:val="18"/>
                <w:color w:val="auto"/>
                <w:w w:val="89"/>
              </w:rPr>
              <w:t>76-0307819</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3"/>
          </w:tcPr>
          <w:p>
            <w:pPr>
              <w:jc w:val="center"/>
              <w:ind w:right="18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0" w:type="dxa"/>
            <w:vAlign w:val="bottom"/>
          </w:tcPr>
          <w:p>
            <w:pPr>
              <w:spacing w:after="0"/>
              <w:rPr>
                <w:sz w:val="20"/>
                <w:szCs w:val="20"/>
                <w:color w:val="auto"/>
              </w:rPr>
            </w:pPr>
          </w:p>
        </w:tc>
        <w:tc>
          <w:tcPr>
            <w:tcW w:w="8160" w:type="dxa"/>
            <w:vAlign w:val="bottom"/>
            <w:gridSpan w:val="4"/>
          </w:tcPr>
          <w:p>
            <w:pPr>
              <w:jc w:val="center"/>
              <w:ind w:right="3040"/>
              <w:spacing w:after="0"/>
              <w:rPr>
                <w:sz w:val="20"/>
                <w:szCs w:val="20"/>
                <w:color w:val="auto"/>
              </w:rPr>
            </w:pPr>
            <w:r>
              <w:rPr>
                <w:rFonts w:ascii="Arial" w:cs="Arial" w:eastAsia="Arial" w:hAnsi="Arial"/>
                <w:sz w:val="18"/>
                <w:szCs w:val="18"/>
                <w:color w:val="auto"/>
                <w:w w:val="91"/>
              </w:rPr>
              <w:t>Incorporation or Organization)</w:t>
            </w:r>
          </w:p>
        </w:tc>
        <w:tc>
          <w:tcPr>
            <w:tcW w:w="3240" w:type="dxa"/>
            <w:vAlign w:val="bottom"/>
            <w:gridSpan w:val="3"/>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w w:val="91"/>
              </w:rPr>
              <w:t>475 Tenth Avenue, New York, NY 10018</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4"/>
        </w:trPr>
        <w:tc>
          <w:tcPr>
            <w:tcW w:w="6280" w:type="dxa"/>
            <w:vAlign w:val="bottom"/>
            <w:gridSpan w:val="4"/>
          </w:tcPr>
          <w:p>
            <w:pPr>
              <w:jc w:val="center"/>
              <w:ind w:left="5070"/>
              <w:spacing w:after="0"/>
              <w:rPr>
                <w:sz w:val="20"/>
                <w:szCs w:val="20"/>
                <w:color w:val="auto"/>
              </w:rPr>
            </w:pPr>
            <w:r>
              <w:rPr>
                <w:rFonts w:ascii="Arial" w:cs="Arial" w:eastAsia="Arial" w:hAnsi="Arial"/>
                <w:sz w:val="18"/>
                <w:szCs w:val="18"/>
                <w:color w:val="auto"/>
                <w:w w:val="90"/>
              </w:rPr>
              <w:t>(347) 727-2474</w:t>
            </w: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(Issuer's Telephone Number, Including Area Code)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Securities registered under Section 12(b) of the Exchange Act:</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20" w:type="dxa"/>
            <w:vAlign w:val="bottom"/>
            <w:gridSpan w:val="2"/>
          </w:tcPr>
          <w:p>
            <w:pPr>
              <w:jc w:val="center"/>
              <w:ind w:right="1920"/>
              <w:spacing w:after="0"/>
              <w:rPr>
                <w:sz w:val="20"/>
                <w:szCs w:val="20"/>
                <w:color w:val="auto"/>
              </w:rPr>
            </w:pPr>
            <w:r>
              <w:rPr>
                <w:rFonts w:ascii="Arial" w:cs="Arial" w:eastAsia="Arial" w:hAnsi="Arial"/>
                <w:sz w:val="18"/>
                <w:szCs w:val="18"/>
                <w:color w:val="auto"/>
                <w:w w:val="88"/>
              </w:rPr>
              <w:t>None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$0.001 par value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2"/>
        </w:trPr>
        <w:tc>
          <w:tcPr>
            <w:tcW w:w="918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2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18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24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Check whether the registrant (1)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653"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4900" w:space="720"/>
            <w:col w:w="5800"/>
          </w:cols>
          <w:pgMar w:left="240" w:top="472" w:right="239" w:bottom="653"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$11,902,137 based upon the average bid and asked price of such common stock on June 29, 2012.</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issued and outstanding as of March 15, 2013 was 7,339,979 shares.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65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6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60" w:type="dxa"/>
            <w:vAlign w:val="bottom"/>
            <w:tcBorders>
              <w:bottom w:val="single" w:sz="8" w:color="CCFFCC"/>
            </w:tcBorders>
          </w:tcPr>
          <w:p>
            <w:pPr>
              <w:spacing w:after="0"/>
              <w:rPr>
                <w:sz w:val="24"/>
                <w:szCs w:val="24"/>
                <w:color w:val="auto"/>
              </w:rPr>
            </w:pPr>
          </w:p>
        </w:tc>
        <w:tc>
          <w:tcPr>
            <w:tcW w:w="680" w:type="dxa"/>
            <w:vAlign w:val="bottom"/>
            <w:tcBorders>
              <w:bottom w:val="single" w:sz="8" w:color="CCFFCC"/>
            </w:tcBorders>
          </w:tcPr>
          <w:p>
            <w:pPr>
              <w:spacing w:after="0"/>
              <w:rPr>
                <w:sz w:val="24"/>
                <w:szCs w:val="24"/>
                <w:color w:val="auto"/>
              </w:rPr>
            </w:pPr>
          </w:p>
        </w:tc>
        <w:tc>
          <w:tcPr>
            <w:tcW w:w="9260" w:type="dxa"/>
            <w:vAlign w:val="bottom"/>
            <w:tcBorders>
              <w:bottom w:val="single" w:sz="8" w:color="CCFFCC"/>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680" w:type="dxa"/>
            <w:vAlign w:val="bottom"/>
            <w:shd w:val="clear" w:color="auto" w:fill="CCFFCC"/>
          </w:tcPr>
          <w:p>
            <w:pPr>
              <w:spacing w:after="0"/>
              <w:rPr>
                <w:sz w:val="18"/>
                <w:szCs w:val="18"/>
                <w:color w:val="auto"/>
              </w:rPr>
            </w:pPr>
          </w:p>
        </w:tc>
        <w:tc>
          <w:tcPr>
            <w:tcW w:w="92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1</w:t>
            </w:r>
          </w:p>
        </w:tc>
        <w:tc>
          <w:tcPr>
            <w:tcW w:w="9260" w:type="dxa"/>
            <w:vAlign w:val="bottom"/>
          </w:tcPr>
          <w:p>
            <w:pPr>
              <w:ind w:left="260"/>
              <w:spacing w:after="0"/>
              <w:rPr>
                <w:sz w:val="20"/>
                <w:szCs w:val="20"/>
                <w:color w:val="auto"/>
              </w:rPr>
            </w:pPr>
            <w:r>
              <w:rPr>
                <w:rFonts w:ascii="Arial" w:cs="Arial" w:eastAsia="Arial" w:hAnsi="Arial"/>
                <w:sz w:val="18"/>
                <w:szCs w:val="18"/>
                <w:color w:val="auto"/>
              </w:rPr>
              <w:t>Business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1A</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Risk Factors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2</w:t>
            </w:r>
          </w:p>
        </w:tc>
        <w:tc>
          <w:tcPr>
            <w:tcW w:w="9260" w:type="dxa"/>
            <w:vAlign w:val="bottom"/>
          </w:tcPr>
          <w:p>
            <w:pPr>
              <w:ind w:left="260"/>
              <w:spacing w:after="0"/>
              <w:rPr>
                <w:sz w:val="20"/>
                <w:szCs w:val="20"/>
                <w:color w:val="auto"/>
              </w:rPr>
            </w:pPr>
            <w:r>
              <w:rPr>
                <w:rFonts w:ascii="Arial" w:cs="Arial" w:eastAsia="Arial" w:hAnsi="Arial"/>
                <w:sz w:val="18"/>
                <w:szCs w:val="18"/>
                <w:color w:val="auto"/>
              </w:rPr>
              <w:t>Properties</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3</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Legal Proceedings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4</w:t>
            </w:r>
          </w:p>
        </w:tc>
        <w:tc>
          <w:tcPr>
            <w:tcW w:w="9260" w:type="dxa"/>
            <w:vAlign w:val="bottom"/>
          </w:tcPr>
          <w:p>
            <w:pPr>
              <w:ind w:left="260"/>
              <w:spacing w:after="0"/>
              <w:rPr>
                <w:sz w:val="20"/>
                <w:szCs w:val="20"/>
                <w:color w:val="auto"/>
              </w:rPr>
            </w:pPr>
            <w:r>
              <w:rPr>
                <w:rFonts w:ascii="Arial" w:cs="Arial" w:eastAsia="Arial" w:hAnsi="Arial"/>
                <w:sz w:val="18"/>
                <w:szCs w:val="18"/>
                <w:color w:val="auto"/>
              </w:rPr>
              <w:t>Mine Safety Disclosure</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92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6"/>
              </w:rPr>
              <w:t>PART II</w:t>
            </w:r>
          </w:p>
        </w:tc>
        <w:tc>
          <w:tcPr>
            <w:tcW w:w="6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5</w:t>
            </w:r>
          </w:p>
        </w:tc>
        <w:tc>
          <w:tcPr>
            <w:tcW w:w="9260" w:type="dxa"/>
            <w:vAlign w:val="bottom"/>
            <w:shd w:val="clear" w:color="auto" w:fill="CCFFCC"/>
          </w:tcPr>
          <w:p>
            <w:pPr>
              <w:ind w:left="260"/>
              <w:spacing w:after="0" w:line="201" w:lineRule="exact"/>
              <w:rPr>
                <w:sz w:val="20"/>
                <w:szCs w:val="20"/>
                <w:color w:val="auto"/>
              </w:rPr>
            </w:pPr>
            <w:r>
              <w:rPr>
                <w:rFonts w:ascii="Arial" w:cs="Arial" w:eastAsia="Arial" w:hAnsi="Arial"/>
                <w:sz w:val="18"/>
                <w:szCs w:val="18"/>
                <w:color w:val="auto"/>
                <w:w w:val="96"/>
              </w:rPr>
              <w:t>Market for Registrant’s Common Equity, Related Stockholder Matters and Small Business Issuer Purchases of Equity</w:t>
            </w:r>
          </w:p>
        </w:tc>
        <w:tc>
          <w:tcPr>
            <w:tcW w:w="8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Securities</w:t>
            </w:r>
          </w:p>
        </w:tc>
        <w:tc>
          <w:tcPr>
            <w:tcW w:w="8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6</w:t>
            </w:r>
          </w:p>
        </w:tc>
        <w:tc>
          <w:tcPr>
            <w:tcW w:w="9260" w:type="dxa"/>
            <w:vAlign w:val="bottom"/>
          </w:tcPr>
          <w:p>
            <w:pPr>
              <w:ind w:left="260"/>
              <w:spacing w:after="0"/>
              <w:rPr>
                <w:sz w:val="20"/>
                <w:szCs w:val="20"/>
                <w:color w:val="auto"/>
              </w:rPr>
            </w:pPr>
            <w:r>
              <w:rPr>
                <w:rFonts w:ascii="Arial" w:cs="Arial" w:eastAsia="Arial" w:hAnsi="Arial"/>
                <w:sz w:val="18"/>
                <w:szCs w:val="18"/>
                <w:color w:val="auto"/>
              </w:rPr>
              <w:t>Selected Financial Data</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7</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7A</w:t>
            </w:r>
          </w:p>
        </w:tc>
        <w:tc>
          <w:tcPr>
            <w:tcW w:w="926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8</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9</w:t>
            </w:r>
          </w:p>
        </w:tc>
        <w:tc>
          <w:tcPr>
            <w:tcW w:w="9260" w:type="dxa"/>
            <w:vAlign w:val="bottom"/>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9A</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9B</w:t>
            </w:r>
          </w:p>
        </w:tc>
        <w:tc>
          <w:tcPr>
            <w:tcW w:w="926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gridSpan w:val="2"/>
            <w:shd w:val="clear" w:color="auto" w:fill="CCFFCC"/>
          </w:tcPr>
          <w:p>
            <w:pPr>
              <w:spacing w:after="0"/>
              <w:rPr>
                <w:sz w:val="18"/>
                <w:szCs w:val="18"/>
                <w:color w:val="auto"/>
              </w:rPr>
            </w:pPr>
          </w:p>
        </w:tc>
        <w:tc>
          <w:tcPr>
            <w:tcW w:w="92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9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11</w:t>
            </w:r>
          </w:p>
        </w:tc>
        <w:tc>
          <w:tcPr>
            <w:tcW w:w="9260" w:type="dxa"/>
            <w:vAlign w:val="bottom"/>
          </w:tcPr>
          <w:p>
            <w:pPr>
              <w:ind w:left="260"/>
              <w:spacing w:after="0"/>
              <w:rPr>
                <w:sz w:val="20"/>
                <w:szCs w:val="20"/>
                <w:color w:val="auto"/>
              </w:rPr>
            </w:pPr>
            <w:r>
              <w:rPr>
                <w:rFonts w:ascii="Arial" w:cs="Arial" w:eastAsia="Arial" w:hAnsi="Arial"/>
                <w:sz w:val="18"/>
                <w:szCs w:val="18"/>
                <w:color w:val="auto"/>
              </w:rPr>
              <w:t>Executive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12</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13</w:t>
            </w:r>
          </w:p>
        </w:tc>
        <w:tc>
          <w:tcPr>
            <w:tcW w:w="9260" w:type="dxa"/>
            <w:vAlign w:val="bottom"/>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Item</w:t>
            </w:r>
          </w:p>
        </w:tc>
        <w:tc>
          <w:tcPr>
            <w:tcW w:w="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14</w:t>
            </w:r>
          </w:p>
        </w:tc>
        <w:tc>
          <w:tcPr>
            <w:tcW w:w="92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Principal Accountant Fees and Services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gridSpan w:val="2"/>
          </w:tcPr>
          <w:p>
            <w:pPr>
              <w:spacing w:after="0"/>
              <w:rPr>
                <w:sz w:val="18"/>
                <w:szCs w:val="18"/>
                <w:color w:val="auto"/>
              </w:rPr>
            </w:pPr>
          </w:p>
        </w:tc>
        <w:tc>
          <w:tcPr>
            <w:tcW w:w="9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PART IV</w:t>
            </w:r>
          </w:p>
        </w:tc>
        <w:tc>
          <w:tcPr>
            <w:tcW w:w="92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Item</w:t>
            </w:r>
          </w:p>
        </w:tc>
        <w:tc>
          <w:tcPr>
            <w:tcW w:w="680" w:type="dxa"/>
            <w:vAlign w:val="bottom"/>
          </w:tcPr>
          <w:p>
            <w:pPr>
              <w:ind w:left="20"/>
              <w:spacing w:after="0"/>
              <w:rPr>
                <w:sz w:val="20"/>
                <w:szCs w:val="20"/>
                <w:color w:val="auto"/>
              </w:rPr>
            </w:pPr>
            <w:r>
              <w:rPr>
                <w:rFonts w:ascii="Arial" w:cs="Arial" w:eastAsia="Arial" w:hAnsi="Arial"/>
                <w:sz w:val="18"/>
                <w:szCs w:val="18"/>
                <w:color w:val="auto"/>
              </w:rPr>
              <w:t>15</w:t>
            </w:r>
          </w:p>
        </w:tc>
        <w:tc>
          <w:tcPr>
            <w:tcW w:w="9260" w:type="dxa"/>
            <w:vAlign w:val="bottom"/>
          </w:tcPr>
          <w:p>
            <w:pPr>
              <w:ind w:left="260"/>
              <w:spacing w:after="0"/>
              <w:rPr>
                <w:sz w:val="20"/>
                <w:szCs w:val="20"/>
                <w:color w:val="auto"/>
              </w:rPr>
            </w:pPr>
            <w:r>
              <w:rPr>
                <w:rFonts w:ascii="Arial" w:cs="Arial" w:eastAsia="Arial" w:hAnsi="Arial"/>
                <w:sz w:val="18"/>
                <w:szCs w:val="18"/>
                <w:color w:val="auto"/>
              </w:rPr>
              <w:t>Exhibits and Financial Statement Schedules</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SIGNATURES</w:t>
            </w:r>
          </w:p>
        </w:tc>
        <w:tc>
          <w:tcPr>
            <w:tcW w:w="92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that involve risks and uncertainties, principally in the sections entitled “Description of Business,” “Risk Factors,” and “Management’s Discussion and Analysis of Financial Condition and Results of Operations.” All statements other than statements of historical fact contained in this Annual Report on Form 10-K,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“should,” “would,”, “guidance,” or “will” or the negative of these terms or other comparable terminology. Although we do not make forward-looking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Annual Report on Form 10-K, which may cause our or our industry’s actual results, levels of activity, performance or achievements to differ materially from future results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 no obligation to update any such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You should not place undue reliance on any forward-looking statement, each of which applies only as of the date of this Annual Report on Form 10-</w:t>
      </w:r>
    </w:p>
    <w:p>
      <w:pPr>
        <w:spacing w:after="0" w:line="35" w:lineRule="exact"/>
        <w:rPr>
          <w:sz w:val="20"/>
          <w:szCs w:val="20"/>
          <w:color w:val="auto"/>
        </w:rPr>
      </w:pPr>
    </w:p>
    <w:p>
      <w:pPr>
        <w:ind w:right="20" w:firstLine="8"/>
        <w:spacing w:after="0" w:line="254"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Before you invest in our securities, you should be aware that the occurrence of the events described in the section entitled “Risk Factors” and elsewhere in this Annual Report on Form 10-K could negatively affect our business, operating results, financial condition and stock price. Except as required by law, we undertake no obligation to update or revise publicly any of the forward-looking statements after the date of this Annual Report on Form 10-K to conform our statements to actual results or changed expectations.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Background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Xcel Brands, Inc. (the “Company”) was incorporated on August 31, 1989 in the State of Delaware under the name Houston Operating Company. On April 19, 2005, we changed our name to NetFabric Holdings, Inc. and on September 29, 2011 we changed our name to Xcel Brands, Inc. On September 29, 2011 Xcel Brands, Inc., a privately held Delaware corporation (“Old XCel”), Netfabric Acquisition Corp., a Delaware corporation (“Acquisition Corp.”) and wholly-owned subsidiary of the Company, and certain stockholders of the Company entered into an Agreement of Merger and Plan of Reorganization (the “Merger Agreement”) pursuant to which Acquisition Corp. was merged with and into Old XCel, with Old XCel surviving as a wholly-owned subsidiary of the Company (the “Merger”).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ind w:right="20"/>
        <w:spacing w:after="0" w:line="255" w:lineRule="auto"/>
        <w:rPr>
          <w:sz w:val="20"/>
          <w:szCs w:val="20"/>
          <w:color w:val="auto"/>
        </w:rPr>
      </w:pPr>
      <w:r>
        <w:rPr>
          <w:rFonts w:ascii="Arial" w:cs="Arial" w:eastAsia="Arial" w:hAnsi="Arial"/>
          <w:sz w:val="18"/>
          <w:szCs w:val="18"/>
          <w:color w:val="auto"/>
        </w:rPr>
        <w:t>Also in connection with the Merger and related transactions, the Company acquired (i) the “Isaac Mizrahi” brands (including the trademarks and brands “Isaac Mizrahi New York”, “Isaac Mizrahi” and “IsaacMizrahiLIVE”) (collectively, the “IM Trademarks”), (ii) the license agreements related to the IM Trademarks including a license agreement with QVC, Inc. (“QVC”) (the “QVC Agreement”), (iii) design agreements with Fifth and Pacific Companies, Inc, formerly known as Liz Claiborne, Inc. (“FNP”) (the “LCNY Agreement”) and QVC (the “Design Agreement”) to design the “Liz Claiborne New York” brand for sale exclusively at QVC and (iv) computers, design software, and other assets related to the licensing and design of the IM Trademarks and the design of the Liz Claiborne New York brand (together with the IM Trademarks, the QVC Agreement, the LCNY Agreement, the Design Agreement, the “Isaac Mizrahi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Business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Company’s primary business is the design, licensing and marketing of the Isaac Mizrahi trademarks and brands, including “Isaac Mizrahi New York”, “Isaac Mizrahi”, “Isaac Mizrahi Jeans”, “M.” and “IsaacMizrahiLIVE” (the “Isaac Mizrahi Brands”) and the design business related to the Liz Claiborne New York brand (the “LCNY Brand”). The Company’s focus is on licensing its owned brands for promotion and distribution through an Omnichannel retail sales strategy including distribution through Direct-Response Television (i.e. QVC), the internet, and traditional bricks-and-mortar retail channels. The Company operates in a “working capital light” business model, licensing the Isaac Mizrahi Brands through its wholly-owned subsidiary IM Brands, LLC and generating royalty and design revenues through licensing and other agreements with wholesale manufacturers, sourcing and design companies, and retailers. The Company does not currently plan to manufacture products. By partnering with licensing partners who have significant expertise in designing, sourcing, and selling products through wholesale and retail distribution channels, the Company is able to focus on licensing its brands, providing design direction and in certain cases, product designs to its licensees, coordinating merchandising among its licensees, and marketing through social media marketing and other conventional means (advertising, public relations). This model minimizes the need for the Company to spend significant amounts in capital expenditures or inventory purchases related to its brands. The Company’s primary focus is on growing its licensing revenues related to the Isaac Mizrahi Brands and LCNY Brand, and also may open and operate its own retail stores. Separately, the Company in the future may acquire and/or enter into licensing agreements with other brands in order to leverage its licensing, design, and/or marketing expertise to grow its revenues through its Omnichannel retail sales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Business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licensing activities focus on three primary businesses: (i) licensing the “IsaacMizrahiLIVE” brand for distribution through Direct-Response Television (i.e. QVC); (ii) licensing the Isaac Mizrahi Brands (excluding the IsaacMizrahiLIVE brand) to wholesale manufacturers, sourcing and design companies, and retailers for promotion and distribution through the internet and traditional bricks-and-mortar retail channels, and (iii) managing and promoting the LCNY Brand for distribution through Direct-Response Television (i.e. QVC). By licensing the Isaac Mizrahi Brands across Direct-Response Television, the internet, and traditional bricks-and-mortar retail channels, we pursue an “Omnichannel” retail sales strategy for the brand by which we are able to reach our customers and promote sales through all channels of distribution.</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such licensing activities, we provide design support to licensees of the Isaac Mizrahi Brands and LCNY Brand where required and coordinate merchandising and sales efforts between our various licensees in each case where appropriate. We also conduct traditional marketing, advertising, public relations, and social media marketing campaigns for the Isaac Mizrahi Brands, and coordinate such activities with our licensees.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right="40" w:firstLine="648"/>
        <w:spacing w:after="0" w:line="255" w:lineRule="auto"/>
        <w:rPr>
          <w:sz w:val="20"/>
          <w:szCs w:val="20"/>
          <w:color w:val="auto"/>
        </w:rPr>
      </w:pPr>
      <w:r>
        <w:rPr>
          <w:rFonts w:ascii="Arial" w:cs="Arial" w:eastAsia="Arial" w:hAnsi="Arial"/>
          <w:sz w:val="18"/>
          <w:szCs w:val="18"/>
          <w:i w:val="1"/>
          <w:iCs w:val="1"/>
          <w:color w:val="auto"/>
        </w:rPr>
        <w:t>QVC Licensing Agreement</w:t>
      </w:r>
      <w:r>
        <w:rPr>
          <w:rFonts w:ascii="Arial" w:cs="Arial" w:eastAsia="Arial" w:hAnsi="Arial"/>
          <w:sz w:val="18"/>
          <w:szCs w:val="18"/>
          <w:color w:val="auto"/>
        </w:rPr>
        <w:t>. Through its wholly-owned subsidiary, IM Brands, the Company acquired a direct-to-retail license agreement with QVC</w:t>
      </w:r>
      <w:r>
        <w:rPr>
          <w:rFonts w:ascii="Arial" w:cs="Arial" w:eastAsia="Arial" w:hAnsi="Arial"/>
          <w:sz w:val="18"/>
          <w:szCs w:val="18"/>
          <w:i w:val="1"/>
          <w:iCs w:val="1"/>
          <w:color w:val="auto"/>
        </w:rPr>
        <w:t xml:space="preserve"> </w:t>
      </w:r>
      <w:r>
        <w:rPr>
          <w:rFonts w:ascii="Arial" w:cs="Arial" w:eastAsia="Arial" w:hAnsi="Arial"/>
          <w:sz w:val="18"/>
          <w:szCs w:val="18"/>
          <w:color w:val="auto"/>
        </w:rPr>
        <w:t>that was entered into in January 2009 and amended and restated on September 29, 2011 in connection with the Company’s acquisition of the Isaac Mizrahi Brands (as amended, the “QVC Agreement”). Pursuant to the QVC Agreement, IM Brands designs, and QVC sources and sells, various products under the “IsaacMizrahiLIVE” brand. The IsaacMizrahiLIVE licensing program launched on QVC in 2010, and includes the sale of products across various categories including apparel, footwear, handbags, jewelry, accessories, kitchen, and home goods through QVC’s television media and related internet sites. While such sales have been primarily in the United States, we expect to grow sales in QVC’s international divisions, which currently include the United Kingdom, Italy, Germany, Japan and China.</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the QVC Agreement, IM Brands has granted to QVC and its affiliates the exclusive, worldwide right to promote IsaacMizrahiLIVE products and the right to use and publish the related trademarks, service marks, copyrights, designs, logos and other intellectual property rights owned, used, licensed and/or developed by IM Brands for an initial term lasting until September 30, 2015 (with automatic one-year renewal periods unless terminated by either party).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 In connection with the foregoing and during the same period, QVC and its subsidiaries have the exclusive, worldwide right to use Isaac Mizrahi’s name, likeness, image, voice and performance to promote IsaacMizrahiLIVE products and co-branded products. QVC is permitted during this period to promote products that are in competition with IsaacMizrahiLIVE products and co-branded products.</w:t>
      </w:r>
    </w:p>
    <w:p>
      <w:pPr>
        <w:spacing w:after="0" w:line="18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exchange for the rights granted to QVC pursuant to the QVC Agreement, QVC is obligated to pay to IM Brands, on a quarterly basis, royalty payments based upon the “Net Retail Sales” of IsaacMizrahiLIVE products and co-branded products. Under the QVC Agreement, “Net Retail Sales” means the aggregate amount of all revenue generated through the sale of IsaacMizrahiLIVE products or co-branded products by QVC and its subsidiaries under the QVC Agreement, excluding freight, shipping and handling charges, customer returns, and sales, use or other taxes.</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Notwithstanding IM Brands’ grant of worldwide promotion rights to QVC, IM Brands may, with the permission of QVC, sell any of the IsaacMizrahiLIVE products to “Prestige Retailers” or via “Company Media” in exchange for making reverse royalty payments to QVC based on the net retail sales of such products to Prestige Retailers or via Company Media. Under the QVC Agreement, (i) “Prestige Retailers” refers to the stores and the respective internet websites of high-end Bricks and Mortar Retailers (companies whose primary means of deriving revenue is marketing and selling consumer products to end-users of such consumer products at a physical location) such as Neiman Marcus, Bloomingdales and Macy’s Department Stores, but excluding discount divisions of such companies and any mass merchants such as drugstores, warehouse stores and companies such as Sears, JC Penney, Target, Walmart and Kmart; and (ii) “Company Media” refers to “Isaac Mizrahi” and “Isaac Mizrahi New York”-branded bricks and mortar retail stores and internet websites, if any. The Company does not currently sell any of the IsaacMizrahiLIVE products through any of these distribution channels.</w:t>
      </w:r>
    </w:p>
    <w:p>
      <w:pPr>
        <w:spacing w:after="0" w:line="16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Under the QVC Agreement, IM Brands may also earn revenue from (i) the sale, license, consignment or any other form of distribution of any products, bearing, marketed in connection with or otherwise associated with IM Brands’ trademarks and brands (including the Isaac Mizrahi Brands) and/or</w:t>
      </w:r>
    </w:p>
    <w:p>
      <w:pPr>
        <w:ind w:right="220"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licensing of any and all intellectual property rights with respect to any and all products, including IsaacMizrahiLIVE products, bearing, marketed in connection with or otherwise associated with IM Brands’ trademarks and brands; provided that it pays specified portions of the revenues earned from the foregoing activities to QVC.</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ind w:right="140" w:firstLine="648"/>
        <w:spacing w:after="0" w:line="293" w:lineRule="auto"/>
        <w:rPr>
          <w:sz w:val="20"/>
          <w:szCs w:val="20"/>
          <w:color w:val="auto"/>
        </w:rPr>
      </w:pPr>
      <w:r>
        <w:rPr>
          <w:rFonts w:ascii="Arial" w:cs="Arial" w:eastAsia="Arial" w:hAnsi="Arial"/>
          <w:sz w:val="16"/>
          <w:szCs w:val="16"/>
          <w:color w:val="auto"/>
        </w:rPr>
        <w:t>Under the QVC Agreement, IM Brands is restricted from selling products under the Isaac Mizrahi Brands or any of its other trademarks and brands (including the trademarks, copyrights, designs, logos and related intellectual property themselves) to Kmart, Wal-Mart, Sears Roebuck &amp; Co., or a direct competitor of QVC (defined as any entity other than QVC, including HSN, Inc. and Value Vision Media, Inc., whose primary means of deriving revenue is the transmission of Direct-Response Television programs, including the Home Shopping Network, ShopNBC, America's Store and Shop at Home Network). To the extent that brands or other products (other than those under the IM Trademarks) are held directly by the Company or any subsidiary of the Company other than IM Brands, however, such brands or products may be sold to any Direct-Response Television retailer or other competitor of QVC.</w:t>
      </w:r>
    </w:p>
    <w:p>
      <w:pPr>
        <w:spacing w:after="0" w:line="16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addition to the foregoing, the QVC Agreement provided for QVC removing certain restrictions that it had on the IM Trademarks (aside from the “IsaacMizrahiLIVE” trademarks) prior to the Merger; the payment to QVC of certain amounts on the closing of the Merger and related transactions as satisfaction of certain amounts that IM Ready and Earthbound, LLC (“Earthbound”) owed to QVC; and QVC permitting the Company to promote its bricks-and-mortar collections on QVC’s television program subject to certain terms and restrictions. The Company also agreed to provide QVC with a key-man life insurance policy to provide payment to QVC in the event of a death of Isaac Mizrahi.</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the time of the acquisition of the Isaac Mizrahi Business, the QVC Agreement generated more than half of the Company’s total revenues. For the year ended December 31, 2012 and the period September 29, 2011 to December 31, 2011, the QVC Agreement accounted for 59% and 67% of the total revenues of the Company, respectively. For the year ended December 31, 2011, that includes the period September 29, 2011 to December 31, 2011 (the “Successor Prior Year Period”) and the period January 1, 2011 to September 28, 2011 (the “Predecessor Prior Year Period”), the QVC Agreement accounted for 59% of revenues on an unaudited pro-forma basis.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Bricks-and-Mortar Licensing Agreements</w:t>
      </w:r>
      <w:r>
        <w:rPr>
          <w:rFonts w:ascii="Arial" w:cs="Arial" w:eastAsia="Arial" w:hAnsi="Arial"/>
          <w:sz w:val="18"/>
          <w:szCs w:val="18"/>
          <w:color w:val="auto"/>
        </w:rPr>
        <w:t>. As of December 31, 2012, the Company had entered into over 40 additional licensing agreements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Isaac Mizrahi Brands for sales and distribution through the internet and traditional bricks-and-mortar retailers (the “Bricks-and-Mortar Licenses”) in various categories, including but not limited to Womens’ Footwear, Accessories, Apparel, Outerwear, and Bridal Gowns; Fragrance, Bath and Body; Jewelry; Home Products; Mens’ Apparel and Accessories; Childrens’ and Infant Apparel, Footwear and Accessories; and Electronics Cases and Accessories. The terms of the agreements generally range from three to six years with renewal options. Revenue from the Bricks-and-Mortar Licenses represented approximately 11% and 10% of the Company’s total revenues for the year ended December 31, 2012 and the period from September 29, 2011 to December 31, 2011, respectively.</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also in negotiations and/or discussions with other potential licensees and partners to license and/or co-brand the Isaac Mizrahi Brands in additional categories. In certain cases, the Company has engaged licensing agents to assist in the procurement of such licenses for which IM Brands or our licensees pay such agents fees based upon a percentage of the net sales of licensed products by such licensees. While many of the new and proposed licensing agreements will likely require the Company to provide seasonal design guidance, most of our new and prospective licensing partners have their own design staff, and the Company therefore expects to have low incremental overhead related to expanding our licensing business. The Company will endeavor, where possible, to require licensees to provide guaranteed minimum royalties under their license agreements.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Company’s licensees currently and/or plan to sell licensed products through bricks-and-mortar retailers, internet websites, and in certain cases will supply products to QVC for sale through its Direct-Response Television programs and/or through its internet website as a supplier under the QVC Agreement. Based upon the time required to design, market, and produce products for sale through these distribution channels, there were a limited number of licensees who initiated sales of licensed products under the Isaac Mizrahi Brands in 2012, primarily in the Fall 2012 season. However, based upon guaranteed minimum royalties required under many of the license agreements, the Company is able to recognize revenue related to the Bricks-and-Mortar Licenses prior to the sale of licensed products. As licensees who have started to sell licensed products continue to grow their sales, and sales of licensed products commence in new categories in 2013 and future years, the Company expects that its revenue from its Bricks-and-Mortar Licenses will transition from being based on its guaranteed minimum royalties to being based on actual sales of licensed products by its licensees. The Company also intends to enter into distribution agreements and/or licensing agreements with international partners through which its licensees can sell products under the Isaac Mizrahi Brands internationally.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right="80" w:firstLine="648"/>
        <w:spacing w:after="0" w:line="259" w:lineRule="auto"/>
        <w:rPr>
          <w:sz w:val="20"/>
          <w:szCs w:val="20"/>
          <w:color w:val="auto"/>
        </w:rPr>
      </w:pPr>
      <w:r>
        <w:rPr>
          <w:rFonts w:ascii="Arial" w:cs="Arial" w:eastAsia="Arial" w:hAnsi="Arial"/>
          <w:sz w:val="18"/>
          <w:szCs w:val="18"/>
          <w:i w:val="1"/>
          <w:iCs w:val="1"/>
          <w:color w:val="auto"/>
        </w:rPr>
        <w:t>LCNY Agreement</w:t>
      </w:r>
      <w:r>
        <w:rPr>
          <w:rFonts w:ascii="Arial" w:cs="Arial" w:eastAsia="Arial" w:hAnsi="Arial"/>
          <w:sz w:val="18"/>
          <w:szCs w:val="18"/>
          <w:color w:val="auto"/>
        </w:rPr>
        <w:t>. Pursuant to the LCNY Agreement, the Company provides certain promotional services related to the LCNY Brand, rights to use</w:t>
      </w:r>
      <w:r>
        <w:rPr>
          <w:rFonts w:ascii="Arial" w:cs="Arial" w:eastAsia="Arial" w:hAnsi="Arial"/>
          <w:sz w:val="18"/>
          <w:szCs w:val="18"/>
          <w:i w:val="1"/>
          <w:iCs w:val="1"/>
          <w:color w:val="auto"/>
        </w:rPr>
        <w:t xml:space="preserve"> </w:t>
      </w:r>
      <w:r>
        <w:rPr>
          <w:rFonts w:ascii="Arial" w:cs="Arial" w:eastAsia="Arial" w:hAnsi="Arial"/>
          <w:sz w:val="18"/>
          <w:szCs w:val="18"/>
          <w:color w:val="auto"/>
        </w:rPr>
        <w:t>Isaac Mizrahi name as creative director for the LCNY Brand, and design services to FNP for the LCNY Brand, which is sold exclusively through QVC. For the year ended December 31, 2011, that includes the Successor Prior Year Period and the Predecessor Prior Year Period, the LCNY Agreement accounted for 9% of revenues on an unaudited pro-forma basis.</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Pursuant to the LCNY Agreement, Isaac Mizrahi or another spokesperson agreeable to the Company, QVC and FNP (any such person, the “Designer”), must be made available to act as creative director for the LCNY Brand and for print or other media campaigns (Isaac Mizrahi does not currently promote the products or line, but QVC and FNP may require that a Designer promote the products on QVC in the future). As creative director, the Designer works with and directs a design staff employed by the Company, for which design services the Company is compensated under a separate agreement with QVC. The initial term of the LCNY Agreement lasts until July 31, 2013, after which the LCNY Agreement automatically renews for an initial renewal term through July 31, 2016 (the “Initial Renewal Term”), followed by four one-year renewal terms unless otherwise terminated by QVC.</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has absolute approval over any use of the Designer’s name and/or likeness, but it has otherwise granted to FNP all rights in any works (or contributions to works) comprised in design or advertising materials that are used in connection with products under the LCNY Brand, other than the trademark, name, image, or likeness of the Designer. The Company has also granted to FNP the right to use the Designer’s name, signature, photograph, voice or other sound effects, likeness, personality, endorsement, biography and statements in connection with the design, manufacture, importation, distribution, sale, marketing and advertising in any media of the products under the LCNY Brand. Additionally, FNP and QVC may use the Isaac Mizrahi name, image, or likeness to promote the role of the Company in the design of products under the LCNY Brand, but may not use the Isaac Mizrahi name, image or likeness as part of the Liz Claiborne New York label itself. Under the LCNY Agreement, the Company has agreed that neither it nor the Designer may, directly or indirectly, associate or affiliate the Designer’s name or trademark with Wal-Mart, Kmart and Sears.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consideration for the promotional and creative services, the rights to the designs created by the Company for the LCNY Brand, and all other rights provided by the Company to FNP pursuant to the LCNY Agreement, FNP is obligated to pay to the Company a percentage of the royalty revenues FNP receives from QVC (pursuant to a separate license agreement by and between FNP and QVC) for sale of products under the LCNY Brand through QVC-owned, -operated and -branded Direct-Response Television programs, website and retail stores, with the percentage equal to twenty-five percent (25%) of such royalties prior to July 31, 2013, and fifty percent (50%) of such royalties following July 31, 2013. In the event that FNP uses the design and technical specifications of products for merchandise that is sold by FNP to international customers or through its own retail stores, the Company is entitled to additional royalty fees with respect to such merchandise to be agreed with FNP. In addition to compensation to be paid by FNP to the Company as described above, FNP is also obligated to pay to the Company twenty-five percent (25%) of the royalty revenues FNP receives from Elizabeth Arden during the term of the LCNY Agreement for fragrance products bearing the LCNY Brand. Finally, if FNP enters into any new licenses with respect to the LCNY Brand during the term of the LCNY Agreement, FNP has agreed to pay to the Company 25% of the royalty revenues FNP receives from such new licenses. For the year ended December 31, 2012 and the period September 29, 2011 to December 31, 2011, the LCNY Agreement accounted for 13% and 9% of the Company’s total revenues, respectively.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i w:val="1"/>
          <w:iCs w:val="1"/>
          <w:color w:val="auto"/>
        </w:rPr>
        <w:t>Design and Promotional Services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provides design and other services to certain of its licensees, and in some cases, to select brands owned by third parties. In particular, the Company provides full design services to QVC for products sold under both the QVC Agreement and LCNY Agreement, including seasonal design guidance, product development and merchandising, product design and sample review and approvals through its in-house design organization, and provides limited design services to its Bricks-and-Mortar Licenses which may include seasonal design guidance (such as style guides) and/or print and pattern development, for which certain of our licensees pay us fixed fees for such services as determined in their agreement. In general with the exception of the QVC Agreement and LCNY Agreement, the design of products under our Bricks-and-Mortar Licenses is expected to be completed by the licensees. The Company may also provide design services to other companies and/or brands in the future.</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certain cases, the Company provides promotional services to other brands or companies, which may include the use of Isaac Mizrahi or the Isaac Mizrahi Brands for the promotion of such company or brands through the internet, television, or other digital content, print media or other marketing campaigns featuring, in-person appearances by Mr. Mizrahi, the development of limited collections of products (which may include co-branded products) for such company, or other services as determined on a case-by-case basis.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order to provide the design services for the Isaac Mizrahi Business and under the LCNY Agreement, the Company employs a design team. The Company may consider appropriate opportunities to leverage its resources to provide design services or other resources to selected brands that are not owned by the Company in the future.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may open and operate its own retail stores. This would provide the Company with a platform to present a common brand point of view for the Isaac Mizrahi brand. We would expect a retail store division to increase revenues and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Brands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may acquire or enter into licensing, joint venture, or other agreements for brands in the future that it believes it may be able to generate revenues by leveraging its licensing, design, and/or marketing expertise. In the event the Company does decide to enter into a transaction with other brands, the Company will analyze such potential transactions for their growth potential, ability to sell products across platforms, fit with the Company’s existing business and the economic and strategic impact on the Company. The Company would also seek to leverage its existing operational infrastructure to operate any acquired business or intellectual property, and may need to hire additional design, marketing or other personnel or incur additional expenses to operate the business. Each acquisition opportunity will be analyzed on a case-by-case basis. Based on its current cash position, a transaction may require the Company to raise additional equity financing, which may be dilutive, or debt financing, which may impose operating restrictions on the Company, unless substantially all of the consideration paid for a transaction is paid through the issuance of capital stock or a note to the other party, or such transaction does not require any up-front capital to be paid to the other party.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believe that marketing is a critical element to maximize brand value to our licensees and the Company. Therefore, we provide social media marketing and other marketing and public relations support for the Isaac Mizrahi Brands and LCNY Brand.</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Given the Company’s Omnichannel retail sales strategy focusing on the sale of branded products through various distribution channels (including internet, Direct-Response Television, and traditional bricks-and-mortar Sales Channels, our marketing efforts currently focus on social media campaigns, appearances, and digital content in order to drive retail sales of product and consumer awareness across our various sales distribution channels. As such, our marketing is currently conducted primarily through (i) Twitter campaigns, (ii) Facebook campaigns, and (iii) blogs, videos, images (i.e. Instagram, Pinterest) and other internet content that are all updated regularly. Our efforts also include promoting Isaac Mizrahi as a brand and personality through various media including television (Project Runway All-Stars, Live with Kelly), design for performances, and other events. We also work with QVC to leverage QVC’s internet resources including discussion boards, Facebook and Twitter campaigns, and QVC’s website. In order to drive smartphone and tablet sales of IsaacMizrahiLIVE products, QVC has developed an application for the I-Phone and I-Pad to enable customers to browse and purchase products under the IsaacMizrahiLIVE brand, and we have entered into a partnership with and developed a smartphone application in collaboration with Aurasma through which we offer customers an augmented reality experience and the ability to access content that we develop related to the Isaac Mizrahi Brands.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right="20" w:firstLine="648"/>
        <w:spacing w:after="0" w:line="279" w:lineRule="auto"/>
        <w:rPr>
          <w:sz w:val="20"/>
          <w:szCs w:val="20"/>
          <w:color w:val="auto"/>
        </w:rPr>
      </w:pPr>
      <w:r>
        <w:rPr>
          <w:rFonts w:ascii="Arial" w:cs="Arial" w:eastAsia="Arial" w:hAnsi="Arial"/>
          <w:sz w:val="17"/>
          <w:szCs w:val="17"/>
          <w:color w:val="auto"/>
        </w:rPr>
        <w:t>Many of our licensees make an advertising and marketing contribution to IM Brands under their license agreements, and will use such monies to paymarketing-related expenses and further promote the Isaac Mizrahi Brands as we deem appropriate. Certain of the Bricks-and-Mortar Licenses may have requirements to, or such licensees may elect to, provide advertising or marketing for the IM Trademarks under their license agreements with IM Brands. If we acquire additional brands, we would seek to expand our marketing efforts to address the specific needs of such acquired brands.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Isaac Mizrahi Brands are, and additional brands that the Company may acquire will be, subject to extensive competition from various domestic and foreign brands. Each of the Isaac Mizrahi Brands and any acquired brand will likely have many competitors within each of its specific distribution channels that span a broad variety of product categories, including the apparel, footwear, accessories, home furnishings and décor, food products and sporting goods industries. These competitors have the ability to compete with the Company and the Company’s licensees in terms of fashion, quality, price, products and/or marketing.</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 the extent the Company seeks to acquire additional brands, it will face competition to retain licenses and to complete the acquisitions of additional brands. The ownership, licensing, and management of brands is becoming a more widely utilized method of managing consumer brands as production continues to become commoditized and manufacturing capacity increases worldwide. The Company will face competition from numerous direct competitors, including publicly and privately-held companies, including traditional apparel and consumer brand companies, other brand management companies and private equity groups. Companies that traditionally focused on wholesale manufacturing and sourcing models are also exploring licensing as a way of growing their businesses through strategic licensing partners and direct-to-retail licensing arrangements. Finally, the retailers and manufacturers to which the Company currently licenses (or may in the future license) its brands may decide to develop or purchase brands rather than entering into license agreements with the Company.</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Because the Company entered into the brand ownership, marketing, licensing and design business in 2011, and because many of its competitors have significantly more cash and revenues than it, the Company must work to differentiate itself from its direct and indirect competitors and successfully compete for market share with the brands it owns and for future acquisitions. The Company believes that its management team (including its managers’ and directors’ historical track records and relationships within the industry) as well as its operating strategy of licensing brands with significant media presence in its Omnichannel retail sales strategy across Direct-Response Television, bricks-and-mortar and internet retail channels will help differentiate itself in an increasingly crowded competitive landscape.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The Company, through IM Brands, acquired the Isaac Mizrahi Brands which includes the trademarks and brands “Isaac Mizrahi”, “Isaac Mizrahi New York”, “Isaac Mizrahi Jeans”, “M.” and “IsaacMizrahiLIVE”. These trademarks and associated marks are registered or pending registration with the U.S. Patent and Trademark Office in block letter and/or logo formats, as well as in combination with a variety of ancillary marks for use with respect to a variety of product categories, including apparel, footwear and various other goods and services, including in some cases, home furnishings and decor. The Company intends to renew these registrations as appropriate prior to expiration. In addition, the Company registers its trademarks in certain other countries and regions around the world as it deems appropriate.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right="80" w:firstLine="648"/>
        <w:spacing w:after="0" w:line="279" w:lineRule="auto"/>
        <w:rPr>
          <w:sz w:val="20"/>
          <w:szCs w:val="20"/>
          <w:color w:val="auto"/>
        </w:rPr>
      </w:pPr>
      <w:r>
        <w:rPr>
          <w:rFonts w:ascii="Arial" w:cs="Arial" w:eastAsia="Arial" w:hAnsi="Arial"/>
          <w:sz w:val="17"/>
          <w:szCs w:val="17"/>
          <w:color w:val="auto"/>
        </w:rPr>
        <w:t>The Company and its licensees do not presently have a material amount of revenue from either the licensing of the Company’s trademarks internationally or the sale of products under its trademarks internationally. If the Company or a licensee begins, or plans, to license or sell products under the Company’s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Generally, the Company is primarily responsible for monitoring and protecting its trademarks around the world. The Company engages the services of legal counsel to maintain and monitor its existing trademarks, and may register its existing trademarks or new trademarks in various territories around the world based upon its current and planned business strategy. Additionally, the Company seeks to require its licensing partners to advise the Company of any violations of its trademark rights of which its licensing partners become aware. The Company monitors on an ongoing basis unauthorized use and filings of the Company’s trademarks, and the Company relies primarily upon a combination of federal, state, and local laws, as well as contractual restrictions to protect its intellectual property rights both domestically and internationally.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had 34 full-time employees and 1 part-time employee.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Products Safety Commission and various environmental laws and regulations. We believe that we are in compliance in all material respects with all applicable governmental regulations.</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"Item 7. Management's Discussion and Analysis of Financial Condition and Results of Operations—Cautionary Note Regarding Forward-Looking Statements" for additional risks and uncertainties applicable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line="276" w:lineRule="auto"/>
        <w:rPr>
          <w:sz w:val="20"/>
          <w:szCs w:val="20"/>
          <w:color w:val="auto"/>
        </w:rPr>
      </w:pPr>
      <w:r>
        <w:rPr>
          <w:rFonts w:ascii="Arial" w:cs="Arial" w:eastAsia="Arial" w:hAnsi="Arial"/>
          <w:sz w:val="17"/>
          <w:szCs w:val="17"/>
          <w:color w:val="auto"/>
        </w:rPr>
        <w:t>As of December 31, 2012, we had cash and cash equivalents of approximately $3.9 million. Although we believe that our existing cash and our anticipated cash flow from operations will be sufficient to sustain our operations, at our current expense levels, for at least the following 12 months, we may require significant additional cash to expand our operations or acquire additional brands. Our inability to finance our growth, either internally or externally, may limit our growth potential and our ability to execute our business strategy. If we issue securities to raise capital to finance operations and/or pay down debt, our existing stockholders may experience dilution or the new securities may have rights senior to those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our historical operations were conducted as part of a larger, more diverse business.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Although the Isaac Mizrahi brand name has been an established brand for over 20 years, the QVC Agreement and LCNY Agreement relate to businesses at QVC that have been operating only since December 2009, and the Isaac Mizrahi Business was run by Isaac Mizrahi, our Chief Designer, and Marisa Gardini, our Executive Vice President of Strategic Planning prior to our acquisition of the Isaac Mizrahi Brands on September 29, 2011. Certain other members of our management performed consulting services for IM Ready, but were not responsible for its operations. In addition, we have entered into additional licenses for the Isaac Mizrahi Brands, many such licensees have not yet sold licensed products under the Isaac Mizrahi Brands or have only started selling licensed products under the Isaac Mizrahi Brands in 2012. Accordingly, the operating results of the Isaac Mizrahi Business are not necessarily indicative of the future and you should not place undue reliance on the Isaac Mizrahi Business’s past performance.</w:t>
      </w:r>
    </w:p>
    <w:p>
      <w:pPr>
        <w:spacing w:after="0" w:line="167"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The failure of our licensees to adequately produce, market and sell products bearing our brand names in their license categories or to pay their obligations under their license agreements could result in a decline in our results of operations and impact our ability to service our debt obligations.</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their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and distribution requirements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Moreover, the concurrent failure by several of our material licensees to meet their financial obligations to us could jeopardize our ability to meet the debt service coverage ratios required in connection with our debt facility or facilities. Further, this failure may impact our ability to make required payments with respect to such indebtedness. The failure to meet such debt service coverage ratios or to make such required payments may give the lenders thereunder the right to foreclose on the Company’s trademarks, license agreements, and other related assets securing such notes.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is dependent on continued market acceptance of the Isaac Mizrahi Brand and any future brands we acquire and the products of our licensees.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many of our licensees guarantee minimum net sales and minimum royalties to us, many of our licensees are not yet selling licensed products or currently have limited distribution of licensed products and a failure of our brands or of products bearing our brands to achieve or maintain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the Isaac Mizrahi Brand and our licensees’ products, as well as market acceptance of any future products bearing any future brands we acquire, is subject to a high degree of uncertainty, made more so by constantly changing consumer tastes and preferences.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we may or may not have available to spend. Additional marketing efforts and expenditures may not, however, result in either increased market acceptance of, or additional licenses for, our trademarks or increased market acceptance, or sales, of our licensees’ products. Furthermore, while we believe that we currently maintain sufficient control over the products our licensees’ produce under our brand names through the provision of trend direction and our right to preview and approve a majority of such products, including their presentation and packaging, we do not actually design or manufacture all of the products bearing our marks and therefore have more limited control over such products’ quality and design than a traditional product manufacturer might have.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b w:val="1"/>
          <w:bCs w:val="1"/>
          <w:i w:val="1"/>
          <w:iCs w:val="1"/>
          <w:color w:val="auto"/>
        </w:rPr>
        <w:t>Our debt obligations could impair our liquidity and financial condition, and in the event we are unable to meet our debt obligations we could lose title to our trademarks and/or other assets.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entered into a five-year senior secured term facility (the “Loan”) with MidMarket pursuant to which we incurred $13.5 million principal amount of senior secured term debt. In addition, we issued to IM Ready a note in the principal amount of $7,377,432, subject to adjustment as set forth herein (the “Seller Note”) and our ability to pay the Seller Note in shares of our common stock, and have a contingent obligation of $2.8 million that is likely to be owed to IM Ready in September 2014 payable in cash or shares of our common stock. The Company may also assume or incur additional debt, including secured debt, in the future in connection with, or to fund, future acquisitions, subject to limited exceptions. The Loan also requires us to repay the principal loan balance from net cash proceeds received by the Company, IM Brands or any subsidiary in excess of $1,000,000 from the sale of equity securities to the extent such proceeds are not used to fund the purchase price, costs or expenses of a potential acquisition. Our debt obligations:</w:t>
      </w:r>
    </w:p>
    <w:p>
      <w:pPr>
        <w:spacing w:after="0" w:line="178" w:lineRule="exact"/>
        <w:rPr>
          <w:sz w:val="20"/>
          <w:szCs w:val="20"/>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25" w:lineRule="exact"/>
        <w:rPr>
          <w:rFonts w:ascii="Arial" w:cs="Arial" w:eastAsia="Arial" w:hAnsi="Arial"/>
          <w:sz w:val="18"/>
          <w:szCs w:val="18"/>
          <w:color w:val="auto"/>
        </w:rPr>
      </w:pPr>
    </w:p>
    <w:p>
      <w:pPr>
        <w:ind w:left="680" w:right="160" w:hanging="334"/>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70" w:lineRule="exact"/>
        <w:rPr>
          <w:rFonts w:ascii="Arial" w:cs="Arial" w:eastAsia="Arial" w:hAnsi="Arial"/>
          <w:sz w:val="18"/>
          <w:szCs w:val="18"/>
          <w:color w:val="auto"/>
        </w:rPr>
      </w:pPr>
    </w:p>
    <w:p>
      <w:pPr>
        <w:ind w:left="680" w:right="480" w:hanging="334"/>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225" w:lineRule="exact"/>
        <w:rPr>
          <w:rFonts w:ascii="Arial" w:cs="Arial" w:eastAsia="Arial" w:hAnsi="Arial"/>
          <w:sz w:val="18"/>
          <w:szCs w:val="18"/>
          <w:color w:val="auto"/>
        </w:rPr>
      </w:pPr>
    </w:p>
    <w:p>
      <w:pPr>
        <w:ind w:left="680" w:right="200" w:hanging="334"/>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licensing markets; and</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could place us at a competitive disadvantage when compared to our competitors who have less debt.</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While we believe that by virtue of the guaranteed minimum and percentage royalty payments due to us under certain of our licenses, we will generate sufficient revenues from our licensing operations to satisfy our obligations for the foreseeable future, in the event that we were to fail in the future to make any required payment under agreements governing our indebtedness or fail to comply with the financial and operating covenants contained in those agreements, we would be in default regarding that indebtedness and the lenders could declare such indebtedness to be immediately due and payable. A debt default could significantly diminish the market value and marketability of our common stock and could result in the acceleration of the payment obligations under all or a portion of our consolidated indebtedness, or a renegotiation of our Loan with more onerous terms and/or additional equity dilution. It may also enable our senior lender or lenders to foreclose on the Company’s and IM Brands’ assets and/or our membership interests in IM Brands, which currently constitutes substantially all of intangible assets.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right="180"/>
        <w:spacing w:after="0" w:line="277" w:lineRule="auto"/>
        <w:rPr>
          <w:sz w:val="20"/>
          <w:szCs w:val="20"/>
          <w:color w:val="auto"/>
        </w:rPr>
      </w:pPr>
      <w:r>
        <w:rPr>
          <w:rFonts w:ascii="Arial" w:cs="Arial" w:eastAsia="Arial" w:hAnsi="Arial"/>
          <w:sz w:val="18"/>
          <w:szCs w:val="18"/>
          <w:b w:val="1"/>
          <w:bCs w:val="1"/>
          <w:i w:val="1"/>
          <w:iCs w:val="1"/>
          <w:color w:val="auto"/>
        </w:rPr>
        <w:t>We expect to achieve growth based upon our plans to expand the Isaac Mizrahi Business. If we fail to manage our expected future growth, our business and operating results could be harmed.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project growth in the Isaac Mizrahi Business based upon growing the business of our bricks-and-mortar licensees for the Isaac Mizrahi Brands, engaging additional bricks-and-mortar licensees or partners for the Isaac Mizrahi Brands as well as projected growth of the IsaacMizrahiLIVE business with QVC, and we project to grow the LCNY Business on QVC. We may also evaluate and pursue appropriate opportunities with other brands (including acquiring and/or entering into licensing and/or design agreements with such brands) to the extent we believe that such opportunities would be in the best interests of our company and our stockholders.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expected growth will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their fair values and our business, financial condition and results of operations. In addition, we may be unable to leverage our core competencies in managing apparel brands to managing brands in new product categories.</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Also, there can be no assurance that we will be able to achieve and sustain meaningful growth. Our growth may be limited by a number of factors including increased competition among branded products at bricks-and-mortar, internet, and direct-response retailers, decreased airtime on QVC, competition for retail license and brand acquisitions, insufficient capitalization for future transactions.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the Company’s focus is on growing the Isaac Mizrahi Brands and LCNY Brand, the Company may seek to acquire additional intellectual property. We will continue to explore new acquisitions.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will seek to temper our acquisition risks by following acquisition guidelines relating to the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results of operations and/or the value of our equity. These risks include, among others:</w:t>
      </w:r>
    </w:p>
    <w:p>
      <w:pPr>
        <w:spacing w:after="0" w:line="187" w:lineRule="exact"/>
        <w:rPr>
          <w:sz w:val="20"/>
          <w:szCs w:val="20"/>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appropriate business opportunities, including potential licenses and new product lines and markets;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amortization of acquired intangibles;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80" w:right="140" w:hanging="334"/>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225" w:lineRule="exact"/>
        <w:rPr>
          <w:rFonts w:ascii="Arial" w:cs="Arial" w:eastAsia="Arial" w:hAnsi="Arial"/>
          <w:sz w:val="18"/>
          <w:szCs w:val="18"/>
          <w:color w:val="auto"/>
        </w:rPr>
      </w:pPr>
    </w:p>
    <w:p>
      <w:pPr>
        <w:ind w:left="680" w:hanging="334"/>
        <w:spacing w:after="0" w:line="308"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potential difficulties associated with the retention of key employees, and difficulties, delays and unanticipated costs associated with the assimilation of personnel, operations and systems, which may be retained by us in connection with or as a result of our acquisitions; and</w:t>
      </w:r>
    </w:p>
    <w:p>
      <w:pPr>
        <w:spacing w:after="0" w:line="146" w:lineRule="exact"/>
        <w:rPr>
          <w:rFonts w:ascii="Arial" w:cs="Arial" w:eastAsia="Arial" w:hAnsi="Arial"/>
          <w:sz w:val="17"/>
          <w:szCs w:val="17"/>
          <w:color w:val="auto"/>
        </w:rPr>
      </w:pPr>
    </w:p>
    <w:p>
      <w:pPr>
        <w:ind w:left="680" w:right="280" w:hanging="334"/>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as discussed below,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because it could reduce our earnings per share, and any such dilution could reduce the market price of our Common Stock unless and until we were able to achieve revenue growth or cost savings and other business economies sufficient to offset the effect of such an issuance. As a result, there is no guarantee that our stockholders will achieve greater returns as a result of any future acquisitions we complete.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of the intense competition within our existing and potential bricks-and-mortar licensees’ markets and the strength of some of their competitors, we and our licensees may not be able to continue to compete successfully.</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our existing and future bricks-and-mortar licenses to relate to products in the apparel, fashion accessories, footwear, beauty and fragrance, home products and décor, pet products, fabrics and yarns, and other consumer industries, in which our bricks-and-mortar licensees face intense competition, including from our other brands and licensees. In general, competitive factors include quality, price, style, name recognition and service. In addition, various fads and the limited availability of shelf space could affect competition for our licensees’ products. Many of our bricks-and-mortar licensees’ competitors have greater financial, distribution, marketing and other resources than our bricks-and-mortar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b w:val="1"/>
          <w:bCs w:val="1"/>
          <w:i w:val="1"/>
          <w:iCs w:val="1"/>
          <w:color w:val="auto"/>
        </w:rPr>
        <w:t>If our competition for licenses increases, or any of our current licensees elect not to renew their licenses or renew on term less favorable than today, our growth plans could be slowed.</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face increasing competition in the future for licenses as other companies owning brands may decide to enter into licensing arrangements with licensees, retailers or interactive media companies similar to the ones we currently have in place. Furthermore, our current or potential licensees may decide to develop or purchase brands rather than renew or enter into license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licensees are subject to risks and uncertainties of foreign manufacturing and the price, availability and quality of raw materials that could interrupt their operations or increase their operating costs, thereby affecting their ability to deliver goods to the market, reduce or delay their sales and decrease our potential royalty revenues.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the products sold by our licensees are manufactured overseas. There are substantial risks associated with foreign manufacturing, including changes in laws relating to quotas, and the payment of tariffs and duties, fluctuations in foreign currency exchange rates, shipping delays and international political, regulatory and economic developments. Further, our licensees may experience fluctuations in the price, availability and quality of fabrics and raw materials used by them in their manufactured apparel or purchased finished goods. Any of these risks could increase our licensees’ operating costs. Our licensees also import finished products and assume all risk of loss and damage with respect to these goods once they are shipped by their suppliers. If these goods are destroyed or damaged during shipment, the revenues of our licensees, and thus our royalty revenues over and above the guaranteed minimums, could be reduced as a result of our licensees’ inability to deliver or their delay in delivering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own, through our wholly-owned subsidiary, IM Brands, U.S. federal trademark registrations and foreign trademark registrations for our Isaac Mizrahi Brands that are vital to the success and further growth of our business and which we believe have significant value. We will monitor, on an ongoing basis, unauthorized filings of our trademarks and imitations thereof, and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registerability vary internationally. Consequently, in certain foreign jurisdictions, we have elected or may elect not to apply for trademark registrations. 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5" w:name="page16"/>
    <w:bookmarkEnd w:id="15"/>
    <w:p>
      <w:pPr>
        <w:ind w:right="160"/>
        <w:spacing w:after="0" w:line="255" w:lineRule="auto"/>
        <w:rPr>
          <w:sz w:val="20"/>
          <w:szCs w:val="20"/>
          <w:color w:val="auto"/>
        </w:rPr>
      </w:pPr>
      <w:r>
        <w:rPr>
          <w:rFonts w:ascii="Arial" w:cs="Arial" w:eastAsia="Arial" w:hAnsi="Arial"/>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In addition, to the extent that any of our trademarks were ever deemed to violate the proprietary rights of others in any litigation or proceeding or as a result of any claim, we may be prevented from using them, which could cause a termination of our licensing arrangements, and thus our revenue stream, with respect to those trademarks. Litigation could also result in a judgment or monetary damages being levied against us.</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substantial portion of the Company’s revenues have been paid by QVC, either through the Company’s existing license agreement with QVC for the “IsaacMizrahiLIVE” brand or through the Design Agreement related to the LCNY Brand. Because we are dependent on these agreements with QVC for a significant portion of our revenue, if QVC were to have financial difficulties, or if QVC decides not to renew or extend its existing agreements with us, our revenue and cash flows could be reduced substantially. Additionally, we have limited control over the programming that QVC devotes to the IsaacMizrahiLIVE and LCNY Brand or its promotional sales with the IsaacMizrahiLIVE and LCNY Brand (such as Today’s Special Value sales). If QVC reduces or modifies its programming or promotional sales related to the Isaac MizrahiLIVE and/or the Liz Claiborne New York brands, our revenues and cash flows could be reduced substantially.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initial term of the QVC Agreement expires on September 30, 2015, with automatic one-year renewal periods unless terminated by either party.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current term of the Design Agreement, which was renewed on January 28, 2013, expires on July 31, 2016 and provides for four one-year renewal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periods. There can be no assurance that the agreements will be renewed upon expiration of the current terms, that the minimum sales thresholds will be met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that QVC will not terminate our licensing agreement or its agreement with FNP for non-performance.</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While our business with QVC has seen growth since the Isaac MizrahiLive and LCNY brands were launched in 2009 and 2010, respectively, there is no guarantee that they will continue to grow in the future. Additionally, while we have entered into additional bricks-and-mortar license agreements for the Isaac Mizrahi Brands in order to diversify and grow our revenues, there are no guarantees that our new bricks-and-mortar licensees will be able to generate sales of products under the Isaac Mizrahi Brands or grow their existing sales of products under the Isaac Mizrahi Brands, and if they do generate sales, there is no guarantee that they will not cause a decline in sales of product being sold through QVC.</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QVC Agreement restricts us from selling Isaac Mizrahi branded product with certain retailers, which provides QVC with a right to terminate the QVC Agreement if we breach this provision.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all of our bricks-and-mortar license agreements prohibit the sale of Isaac Mizrahi branded product to these restricted retailers, one or more of our bricks-and-mortar licensees could sell to a restricted retailer, putting us in breach with QVC and exposing us to termination by QVC. A breach by QVC could result in QVC seeking monetary damages, seeking an injunction against us and our bricks-and-mortar licensees and/or terminate the QVC Agreement that could have a material adverse effect on the Company’s net income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right="480"/>
        <w:spacing w:after="0" w:line="308" w:lineRule="auto"/>
        <w:rPr>
          <w:sz w:val="20"/>
          <w:szCs w:val="20"/>
          <w:color w:val="auto"/>
        </w:rPr>
      </w:pPr>
      <w:r>
        <w:rPr>
          <w:rFonts w:ascii="Arial" w:cs="Arial" w:eastAsia="Arial" w:hAnsi="Arial"/>
          <w:sz w:val="17"/>
          <w:szCs w:val="17"/>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success as a marketer and licensor of intellectual property is largely dependent upon the efforts of Robert W. D’Loren, our Chief Executive Officer and chairman of the board of directors. Our continued success is largely dependent upon his continued efforts and those of our other key executives. Although we entered into an employment agreement with Robert D’Loren, as well as employment agreements with other of our key executives and employees, including Isaac Mizrahi,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upon the promotional services of Isaac Mizrahi as it relates to the Isaac Mizrahi brand, which is currently our primary business.</w:t>
      </w:r>
    </w:p>
    <w:p>
      <w:pPr>
        <w:spacing w:after="0" w:line="248"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color w:val="auto"/>
        </w:rPr>
        <w:t>If we lose the services of Isaac Mizrahi, we may not be able to fully comply with the terms of our license agreements with QVC or our design agreements with FNP and QVC and it may result in significant reductions in the value of the Isaac Mizrahi Brands and our prospects, revenues and cash flows. Isaac Mizrahi is a key individual in our continued promotion of the Isaac Mizrahi Brands and the principal salesperson of the Isaac Mizrahi brands on QVC.</w:t>
      </w:r>
    </w:p>
    <w:p>
      <w:pPr>
        <w:ind w:right="80"/>
        <w:spacing w:after="0" w:line="267" w:lineRule="auto"/>
        <w:rPr>
          <w:sz w:val="20"/>
          <w:szCs w:val="20"/>
          <w:color w:val="auto"/>
        </w:rPr>
      </w:pPr>
      <w:r>
        <w:rPr>
          <w:rFonts w:ascii="Arial" w:cs="Arial" w:eastAsia="Arial" w:hAnsi="Arial"/>
          <w:sz w:val="17"/>
          <w:szCs w:val="17"/>
          <w:color w:val="auto"/>
        </w:rPr>
        <w:t>Although we have entered into an employment agreement with Mr. Mizrahi and he is a significant shareholder of the Company, there is no guarantee that we will not lose his services. To the extent that any of Mr. Mizrahi’s services become unavailable to us, we will likely need to find a replacement to Mr. Mizrahi to become Chief Designer for the Isaac Mizrahi Brands. Competition for skilled designers or brand promoters is intense, and compensation levels may be high, and there is no guarantee that we would be able to identify and attract a qualified replacement, or if Mr. Mizrahi’s services are not available to us, that we would be able to promote the Isaac Mizrahi Brands as well as we are able to with Mr. Mizrahi. This could significantly affect the value of the Isaac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Isaac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the consumer views as negative, which may harm the Isaac Mizrahi Brands as well as our business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termination of agreements related to design and other services would decrease our expected revenues and cash flows.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provides design and other services for fixed or agreed upon fees. If the Company fails to perform these services or if these service agreements were terminated or not renewed, our expected revenues and cash flows would decrease.</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The LCNY Agreement could be terminated by FNP and/or QVC in the event that QVC or FNP decides not to renew its licensing agreement with respect to the LCNY Brand, or if we were to lose the services of Isaac Mizrahi as the designer with respect to LCNY Brand branded products, thereby decreasing our expected revenues and cash flows.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the LCNY Agreement in place with FNP, pursuant to which Isaac Mizrahi designs the LCNY Brand line to be sold on QVC in exchange for the Company receiving a percentage of the royalties that FNP receives from QVC under a separate license agreement between FNP and QVC (the LCNY Agreement). The LCNY Agreement is co-terminous with the license agreement between FNP and QVC, which has an initial term through July 31, 2016. There is no guarantee that FNP or QVC will renew the agreement past the Initial Renewal Term, which would impair our revenues and cash flows. Additionally, FNP has the right at its option to terminate the LCNY Agreement with us if the services of Isaac Mizrahi as designer for LCNY Brand products are no longer available to FNP and we do not agree upon a replacement designer. Although we have entered into an employment agreement with Mr. Mizrahi, there can be no assurance that if his services are required by FNP he will provide such services or that in the event we, and thus QVC, were to lose the ability to draw on such services, FNP would continue its design agreement with us. The loss of the LCNY Agreement would significantly decrease our expected revenues and cash flows until we were able to enter into one or more replacement agreements.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20"/>
        <w:spacing w:after="0" w:line="264" w:lineRule="auto"/>
        <w:rPr>
          <w:sz w:val="20"/>
          <w:szCs w:val="20"/>
          <w:color w:val="auto"/>
        </w:rPr>
      </w:pPr>
      <w:r>
        <w:rPr>
          <w:rFonts w:ascii="Arial" w:cs="Arial" w:eastAsia="Arial" w:hAnsi="Arial"/>
          <w:sz w:val="18"/>
          <w:szCs w:val="18"/>
          <w:b w:val="1"/>
          <w:bCs w:val="1"/>
          <w:i w:val="1"/>
          <w:iCs w:val="1"/>
          <w:color w:val="auto"/>
        </w:rPr>
        <w:t>Intangible assets, including our trademarks and goodwill represent a substantial portion of our assets. As a result of changes in market conditions and declines in the estimated fair value of these assets, we may, in the future, be required to write down a portion of our intangible assets and such write-down would, as applicable, either decrease our net income or increase our net loss.</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Trademarks represent a significant portion of our assets. Under accounting standards generally accepted in the United States of America, indefinite lived intangible assets, including our trademarks,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Any write-down of intangible assets resulting from future periodic evaluations would, as applicable, either decrease our net income or increase our net loss and those decreases or increases could be material.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In addition, we are subject to the continuous examination of our income tax returns by the Internal Revenue Service and other tax authorities.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We cannot guarantee that the outcomes of these evaluations and continuous examinations will not harm our reported operating results and financial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rely on various information technology systems to manage our operations, which subjects us to inherent costs and risks associated with maintaining, upgrading, replacing and changing these systems, including impairment of our information technology, potential disruption of our internal control systems, substantial capital expenditures, demands on management time and other risks of delays or difficulties in upgrading, transitioning to new systems or of integrating new systems into our current systems.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consumer-spending levels and an inability to access capital may adversely affect our business.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Many economic factors beyond our control may impact our forecasts and actual performance. These factors include consumer confidence, consumer spending levels, employment levels, or availability of consumer credit, recession, deflation, inflation, a general slowdown of the U.S. economy or an uncertain economic outlook.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risks associated with our business are more acute during periods of economic slowdown or recession. In addition to other consequences, these periods may be accompanied by decreased consumer spending generally, as well as decreased demand for, or additional downward pricing pressure on, the products carrying our brands.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an ever-growing reliance on technology including web-based information, proprietary data storage and normal business operations, which creates increased risk for us to ensure these systems remain uncompromised.</w:t>
      </w:r>
    </w:p>
    <w:p>
      <w:pPr>
        <w:spacing w:after="0" w:line="1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threats of cyber-attacks expand across industries, and given the potential material impact on operations, the security of these digital technologies from internal and external threat could disrupt services and lead to misusage and “leakage” that could lead to significant capital outlays.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recently enacted JOBS Act allows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the first date of sales of securities pursuant to this registration statement,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Section 404 of the Sarbanes-Oxley Act of 2002, we are required to include in our Annual Report on Form 10-K our assessment of the effectiveness of our internal controls over financial reporting. We have dedicated a significant amount of time and resources to ensure compliance with this legislation for the year ended December 31, 2012 and will continue to do so for future fiscal periods. Although we believe that we currently have adequate internal control procedures in place, we cannot be certain that future material changes to our internal controls over financial reporting will be effective. If we cannot adequately maintain the effectiveness of our internal controls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we are no longer an “emerging growth company.” At such time that an attestation is required, our independent registered public accounting firm may issue a report that is adverse or qualified in the event that it is not satisfied with the level at which our controls are documented, designed or operating. Our remediation efforts may not enable us to avoid a material weakness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right="200"/>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combined voting power of the Common Stock ownership of our officers and directors and key employees is approximately 70% of our voting securities. Additionally, pursuant to the Voting Agreement, IM Ready agreed to appoint a person designated by the board of directors as IM Ready’s irrevocable proxy and attorney-in-fact with respect to the shares of the Common Stock received by IM Ready in connection with the Merger. The proxy holder shall vote in favor of matters recommended or approved by the board of directors.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a result, our management and key employees through such stock ownership exercises significant control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incurs increased costs as a result of being a public company, which may adversely affect its business.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public company, we incur significant legal, accounting and other expenses that private company’s don’t incur. In addition, the Sarbanes-Oxley Act of 2002 and new rules subsequently implemented by the SEC have required changes in corporate governance practices of public companies. These rules and regulations create legal and financial compliance costs and make some activities more time consuming and costly than if we were private. For example, as a public company, the Company has adopted policies regarding internal controls and disclosure controls and procedures in order to comply with public company internal control and disclosure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reduce the market price of our Common Stock.</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publicly traded shares of our Common Stock are not widely held, and do not have significant trading volume, and therefore may experience significant price and volume fluctuations. This market volatility could reduce the market price of the Common Stock, regardless of our operating performance. In addition, the trading price of the Common Stock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0" w:name="page21"/>
    <w:bookmarkEnd w:id="20"/>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We are subject to the penny stock rules adopted by the Securities and Exchange Commission that require brokers to provide extensive disclosure to their customers prior to executing trades in penny stocks. These disclosure requirements may cause a reduction in the trading activity of our Common Stock, which in all likelihood would make it difficult for our stockholders to sell their securities.</w:t>
      </w:r>
    </w:p>
    <w:p>
      <w:pPr>
        <w:spacing w:after="0" w:line="16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Rule 3a51-1 of the Securities Exchange Act of 1934 establishes the definition of a “penny stock,” for purposes relevant to us, as any equity security that has a minimum bid price of less than $5.00 per share or with an exercise price of less than $5.00 per share, subject to a limited number of exceptions which are not available to us. This classification would severely and adversely affect any market liquidity for our Common Stock.</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if and when our Common Stock becomes publicly traded. In addition, the liquidity for our Common Stock may decrease, with a corresponding decrease in the price of our Common Stock. Our Common Stock, in all probability, will be subject to such penny stock rules for the foreseeable future and our stockholders will, in all likelihood, find it difficult to sell their Common Stock.</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sales of Common Stock in the public market or the issuance of Common Stock or securities senior to the Common Stock could adversely affect the trading price of our Common Stock.</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Certificate of Incorporation currently authorizes our board of directors to issue shares of Common Stock in excess of the Common Stock currently outstanding. Any additional issuances of any of our authorized but unissued shares will not require the approval of stockholders and may have the effect of further diluting the equity interest of stockholders.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40"/>
        <w:spacing w:after="0" w:line="290" w:lineRule="auto"/>
        <w:rPr>
          <w:sz w:val="20"/>
          <w:szCs w:val="20"/>
          <w:color w:val="auto"/>
        </w:rPr>
      </w:pPr>
      <w:r>
        <w:rPr>
          <w:rFonts w:ascii="Arial" w:cs="Arial" w:eastAsia="Arial" w:hAnsi="Arial"/>
          <w:sz w:val="16"/>
          <w:szCs w:val="16"/>
          <w:color w:val="auto"/>
        </w:rPr>
        <w:t>We may issue Common Stock in the future for a number of reasons, including to attract and retain key personnel, to lenders, investment banks, or investors in order to achieve more favorable terms from these parties and align their interests with our common equity holders, to management and/or employees to reward performance to finance our operations and growth strategy, to adjust our ratio of debt to equity, to satisfy outstanding obligations or for other reasons. If we issue securities, our existing stockholders may experience dilution. Future sales of the Common Stock, the perception that such sales could occur or the availability for future sale of shares of the Common Stock or securities convertible into or exercisable for our Common Stock could adversely affect the market prices of our Common Stock prevailing from time to time. The sale of shares issued upon the exercise of our derivative securities could also further dilute the holdings of our then existing stockholders, including holders of the convertible notes that receive shares of the Common Stock upon conversion of their notes. In addition, future public sales of shares of the Common Stock could impair our ability to raise capital by offering equity securities.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as payment of our obligations under the Loan and to satisfy obligations to IM Ready if royalty revenue targets are met.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outstanding warrants and options to purchase 1,477,619 shares of common stock, of which warrants to purchase 582,428 shares are exercisable at a price of $0.01 per share.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up to $25,265,500 of earn-out payments to IM Ready if royalty revenue targets are met by the Isaac Mizrahi Business.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also satisfy our obligations under the $7,377,000 principal amount Seller Note payable to IM Ready by issuing shares of common stock. The number of shares which we issue to satisfy our earn-out payment obligations or obligations under the Note will be based on the future market price of our common stock and are currently not determinable, provided that there is a floor to the share price to satisfy the Seller Note of $4.50 per share, so the maximum number of shares that could be issued in exchange for the Seller Note is 1,639,334 shares. The issuance of shares to satisfy such obligations and upon exercise of outstanding warrants and options will dilute our then-existing stockholders’ percentage ownership of our company, and such dilution could be substantial. Sales or the potential for sale of a substantial number of such shares could adversely affect the market price of our common stock, particularly if our common stock remains thinly traded at such time.</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Common Stock is not currently traded at high volume, and you may be unable to sell at or near ask prices or at all if you need to sell or liquidate a substantial number of shares at one time.</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Common Stock is currently traded, but with very low, if any, volume, based on quotations on the “OTCQX”, meaning that the number of persons interested in purchasing our Common Stock at or near bid prices at any given time may be relatively small or non-existent. This situation is attributable to a number of factors, including the fact that prior to September 29, 2011, we did not have an operating business, we are a small company which is still relatively unknown to stock analysts, stock brokers, institutional investors and others in the investment community that generate or influence sales volume, and that even if we came to the attention of such persons, they tend to be risk-averse and would be reluctant to follow an unproven company such as ours or purchase or recommend the purchase of our shares until such time as we became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60"/>
        <w:spacing w:after="0" w:line="289" w:lineRule="auto"/>
        <w:rPr>
          <w:sz w:val="20"/>
          <w:szCs w:val="20"/>
          <w:color w:val="auto"/>
        </w:rPr>
      </w:pPr>
      <w:r>
        <w:rPr>
          <w:rFonts w:ascii="Arial" w:cs="Arial" w:eastAsia="Arial" w:hAnsi="Arial"/>
          <w:sz w:val="16"/>
          <w:szCs w:val="16"/>
          <w:color w:val="auto"/>
        </w:rPr>
        <w:t>Stockholders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 The occurrence of these patterns or practices could increase the future volatility of our share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cash dividends on the Common Stock.</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You should not rely on an investment in our Common Stock to provide dividend income, as we currently do not plan to pay any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the Loan prohibits us from paying any cash dividends while it is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Certificate of Incorporation authorizes our board of directors to issue up to 1,000,000 shares of “blank check”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In addition, our Certificate of Incorporation divides our board of directors into three classes, serving staggered three-year terms. Because of the staggered terms, at least two annual meetings, instead of one, would be required to effect a change in a majority of our board of directors. The designation of preferred stock in the future, and the classification of our board of directors into three classes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Historically, the SEC has taken the position that Rule 144 under the Securities Act, as amended, is not available for the resale of securities initially issued by companies that are, or previously were, blank check companies like us,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October 2005, holders of “restricted securities” within the meaning of Rule 144, when reselling their shares pursuant to Rule 144, shall be subject to the conditions set forth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own any real property. We currently lease and maintain our corporate offices and design operations located at 475 Tenth Avenue, New York, New York, 10018. This lease is for approximately 18,500 square feet of office space in a commercial office building. We believe that this space will be sufficient to meet our current operating needs. In addition, IM Brands leases an office in a commercial office building in Wilmington, Delaware providing trademark maintenance and certain licensing activities.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pending legal proceedings to which the Company is a party or to which the Company’s property is subject to.</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40"/>
        <w:spacing w:after="0" w:line="50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Small Business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common stock has been quoted on the Over-the-Counter Bulletin Board ("OTCBB") under the trading symbol "XELB", and effective February 6, 2013, the Company’s common stock has also been quoted for trading on the OTCQX tier of the OTC Markets. Our common stock was previously quoted on the OTC Markets under the ticker symbol “NFBH” during the period from May 7, 2008 through September 29, 2011.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the range of quarterly high and low closing sales prices for our common stock for 2012 and 2011. The quotations below reflect inter-dealer prices, without retail mark-up, mark-down or commission and may not represent actual 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YEAR ENDED DECEMBER 31, 2012</w:t>
            </w:r>
          </w:p>
        </w:tc>
        <w:tc>
          <w:tcPr>
            <w:tcW w:w="2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First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Third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YEAR ENDED DECEMBER 31, 2011</w:t>
            </w:r>
          </w:p>
        </w:tc>
        <w:tc>
          <w:tcPr>
            <w:tcW w:w="2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First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18.23</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Third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15, 2013 the number of stockholders of record was approximately 504 (excluding beneficial owners and any shares held in street name or by nominees).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declared or paid any cash dividends on our common stock nor do we anticipate paying any in the foreseeable future. In addition, the Loan prohibits us from paying any cash dividends while it is outstanding. Furthermore, we expect to retain any future earnings to finance it’s operations and expansion. The payment of cash dividends in the future will be at the discretion of our board of directors and will depend upon our earnings levels, capital requirements, any restrictive loan covenants and other factors the Board considers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On September 29, 2011, the Company assumed the 2011 Equity Incentive Plan (the “Plan”) of Old XCel as approved by Old XCel’s board of directors and stockholders. The purpose of the Plan is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71" w:lineRule="exact"/>
        <w:rPr>
          <w:sz w:val="20"/>
          <w:szCs w:val="20"/>
          <w:color w:val="auto"/>
        </w:rPr>
      </w:pPr>
    </w:p>
    <w:p>
      <w:pPr>
        <w:ind w:left="680" w:right="400" w:hanging="334"/>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70" w:lineRule="exact"/>
        <w:rPr>
          <w:rFonts w:ascii="Arial" w:cs="Arial" w:eastAsia="Arial" w:hAnsi="Arial"/>
          <w:sz w:val="18"/>
          <w:szCs w:val="18"/>
          <w:color w:val="auto"/>
        </w:rPr>
      </w:pPr>
    </w:p>
    <w:p>
      <w:pPr>
        <w:ind w:left="680" w:right="160" w:hanging="334"/>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total of 5,000,000 shares of Common Stock are eligible for issuance under the Plan, and the maximum number of shares of Common Stock with respect to which incentive stock options may be granted under the Plan is 2,000,000.</w:t>
      </w:r>
    </w:p>
    <w:p>
      <w:pPr>
        <w:spacing w:after="0" w:line="170" w:lineRule="exact"/>
        <w:rPr>
          <w:rFonts w:ascii="Arial" w:cs="Arial" w:eastAsia="Arial" w:hAnsi="Arial"/>
          <w:sz w:val="18"/>
          <w:szCs w:val="18"/>
          <w:color w:val="auto"/>
        </w:rPr>
      </w:pPr>
    </w:p>
    <w:p>
      <w:pPr>
        <w:ind w:left="680" w:right="80" w:hanging="334"/>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spacing w:after="0" w:line="170" w:lineRule="exact"/>
        <w:rPr>
          <w:rFonts w:ascii="Arial" w:cs="Arial" w:eastAsia="Arial" w:hAnsi="Arial"/>
          <w:sz w:val="18"/>
          <w:szCs w:val="18"/>
          <w:color w:val="auto"/>
        </w:rPr>
      </w:pPr>
    </w:p>
    <w:p>
      <w:pPr>
        <w:ind w:left="680" w:right="40" w:hanging="334"/>
        <w:spacing w:after="0" w:line="302"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154" w:lineRule="exact"/>
        <w:rPr>
          <w:rFonts w:ascii="Arial" w:cs="Arial" w:eastAsia="Arial" w:hAnsi="Arial"/>
          <w:sz w:val="16"/>
          <w:szCs w:val="16"/>
          <w:color w:val="auto"/>
        </w:rPr>
      </w:pPr>
    </w:p>
    <w:p>
      <w:pPr>
        <w:ind w:left="680" w:right="60" w:hanging="334"/>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81" w:lineRule="exact"/>
        <w:rPr>
          <w:rFonts w:ascii="Arial" w:cs="Arial" w:eastAsia="Arial" w:hAnsi="Arial"/>
          <w:sz w:val="18"/>
          <w:szCs w:val="18"/>
          <w:color w:val="auto"/>
        </w:rPr>
      </w:pPr>
    </w:p>
    <w:p>
      <w:pPr>
        <w:jc w:val="both"/>
        <w:ind w:left="680" w:hanging="334"/>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81" w:lineRule="exact"/>
        <w:rPr>
          <w:rFonts w:ascii="Arial" w:cs="Arial" w:eastAsia="Arial" w:hAnsi="Arial"/>
          <w:sz w:val="18"/>
          <w:szCs w:val="18"/>
          <w:color w:val="auto"/>
        </w:rPr>
      </w:pPr>
    </w:p>
    <w:p>
      <w:pPr>
        <w:ind w:left="680" w:right="200" w:hanging="334"/>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spacing w:after="0" w:line="170" w:lineRule="exact"/>
        <w:rPr>
          <w:rFonts w:ascii="Arial" w:cs="Arial" w:eastAsia="Arial" w:hAnsi="Arial"/>
          <w:sz w:val="18"/>
          <w:szCs w:val="18"/>
          <w:color w:val="auto"/>
        </w:rPr>
      </w:pPr>
    </w:p>
    <w:p>
      <w:pPr>
        <w:ind w:left="680" w:right="100" w:hanging="334"/>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5" w:name="page26"/>
    <w:bookmarkEnd w:id="25"/>
    <w:p>
      <w:pPr>
        <w:ind w:left="680" w:right="120" w:hanging="334"/>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86" w:lineRule="exact"/>
        <w:rPr>
          <w:rFonts w:ascii="Arial" w:cs="Arial" w:eastAsia="Arial" w:hAnsi="Arial"/>
          <w:sz w:val="18"/>
          <w:szCs w:val="18"/>
          <w:color w:val="auto"/>
        </w:rPr>
      </w:pPr>
    </w:p>
    <w:p>
      <w:pPr>
        <w:ind w:left="680" w:right="80" w:hanging="334"/>
        <w:spacing w:after="0" w:line="25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92" w:lineRule="exact"/>
        <w:rPr>
          <w:rFonts w:ascii="Arial" w:cs="Arial" w:eastAsia="Arial" w:hAnsi="Arial"/>
          <w:sz w:val="18"/>
          <w:szCs w:val="18"/>
          <w:color w:val="auto"/>
        </w:rPr>
      </w:pPr>
    </w:p>
    <w:p>
      <w:pPr>
        <w:ind w:left="680" w:right="200" w:hanging="334"/>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81" w:lineRule="exact"/>
        <w:rPr>
          <w:rFonts w:ascii="Arial" w:cs="Arial" w:eastAsia="Arial" w:hAnsi="Arial"/>
          <w:sz w:val="18"/>
          <w:szCs w:val="18"/>
          <w:color w:val="auto"/>
        </w:rPr>
      </w:pPr>
    </w:p>
    <w:p>
      <w:pPr>
        <w:ind w:left="680" w:hanging="334"/>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each stock option award is estimated using the Black-Scholes option pricing model based on certain assumptions. The assumption for expected term is based on evaluations of expected future employee exercise behavior.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assumed a 0% dividend yield.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as of December 31, 2012 regarding compensation plans under which our equity securities are authorized for issuance.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Number of Securities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to be Issued Upon</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 Average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Equity Compensation</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 of</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 of</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Plans (Excluding</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Outstanding Options,</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Securities Reflected in</w:t>
            </w:r>
          </w:p>
        </w:tc>
      </w:tr>
      <w:tr>
        <w:trPr>
          <w:trHeight w:val="230"/>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Warrants and Rights</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Warrants and Rights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Column (a))</w:t>
            </w:r>
          </w:p>
        </w:tc>
      </w:tr>
      <w:tr>
        <w:trPr>
          <w:trHeight w:val="243"/>
        </w:trPr>
        <w:tc>
          <w:tcPr>
            <w:tcW w:w="538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(b)</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w:t>
            </w:r>
          </w:p>
        </w:tc>
      </w:tr>
      <w:tr>
        <w:trPr>
          <w:trHeight w:val="223"/>
        </w:trPr>
        <w:tc>
          <w:tcPr>
            <w:tcW w:w="52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Equity compensation Plans (1)</w:t>
            </w:r>
          </w:p>
        </w:tc>
        <w:tc>
          <w:tcPr>
            <w:tcW w:w="120" w:type="dxa"/>
            <w:vAlign w:val="bottom"/>
            <w:tcBorders>
              <w:top w:val="single" w:sz="8" w:color="CCFFCC"/>
            </w:tcBorders>
            <w:shd w:val="clear" w:color="auto" w:fill="CCFFCC"/>
          </w:tcPr>
          <w:p>
            <w:pPr>
              <w:spacing w:after="0"/>
              <w:rPr>
                <w:sz w:val="19"/>
                <w:szCs w:val="19"/>
                <w:color w:val="auto"/>
              </w:rPr>
            </w:pPr>
          </w:p>
        </w:tc>
        <w:tc>
          <w:tcPr>
            <w:tcW w:w="1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345,000</w:t>
            </w:r>
          </w:p>
        </w:tc>
        <w:tc>
          <w:tcPr>
            <w:tcW w:w="240" w:type="dxa"/>
            <w:vAlign w:val="bottom"/>
            <w:tcBorders>
              <w:top w:val="single" w:sz="8" w:color="CCFFCC"/>
            </w:tcBorders>
            <w:shd w:val="clear" w:color="auto" w:fill="CCFFCC"/>
          </w:tcPr>
          <w:p>
            <w:pPr>
              <w:spacing w:after="0"/>
              <w:rPr>
                <w:sz w:val="19"/>
                <w:szCs w:val="19"/>
                <w:color w:val="auto"/>
              </w:rPr>
            </w:pPr>
          </w:p>
        </w:tc>
        <w:tc>
          <w:tcPr>
            <w:tcW w:w="1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top w:val="single" w:sz="8" w:color="CCFFCC"/>
            </w:tcBorders>
            <w:shd w:val="clear" w:color="auto" w:fill="CCFFCC"/>
          </w:tcPr>
          <w:p>
            <w:pPr>
              <w:spacing w:after="0"/>
              <w:rPr>
                <w:sz w:val="19"/>
                <w:szCs w:val="19"/>
                <w:color w:val="auto"/>
              </w:rPr>
            </w:pPr>
          </w:p>
        </w:tc>
        <w:tc>
          <w:tcPr>
            <w:tcW w:w="1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3,330,840</w:t>
            </w:r>
          </w:p>
        </w:tc>
        <w:tc>
          <w:tcPr>
            <w:tcW w:w="100" w:type="dxa"/>
            <w:vAlign w:val="bottom"/>
            <w:tcBorders>
              <w:top w:val="single" w:sz="8" w:color="CCFFCC"/>
            </w:tcBorders>
            <w:shd w:val="clear" w:color="auto" w:fill="CCFFCC"/>
          </w:tcPr>
          <w:p>
            <w:pPr>
              <w:spacing w:after="0"/>
              <w:rPr>
                <w:sz w:val="19"/>
                <w:szCs w:val="19"/>
                <w:color w:val="auto"/>
              </w:rPr>
            </w:pPr>
          </w:p>
        </w:tc>
      </w:tr>
      <w:tr>
        <w:trPr>
          <w:trHeight w:val="426"/>
        </w:trPr>
        <w:tc>
          <w:tcPr>
            <w:tcW w:w="5380" w:type="dxa"/>
            <w:vAlign w:val="bottom"/>
            <w:gridSpan w:val="2"/>
          </w:tcPr>
          <w:p>
            <w:pPr>
              <w:spacing w:after="0"/>
              <w:rPr>
                <w:sz w:val="20"/>
                <w:szCs w:val="20"/>
                <w:color w:val="auto"/>
              </w:rPr>
            </w:pPr>
            <w:r>
              <w:rPr>
                <w:rFonts w:ascii="Arial" w:cs="Arial" w:eastAsia="Arial" w:hAnsi="Arial"/>
                <w:sz w:val="18"/>
                <w:szCs w:val="18"/>
                <w:color w:val="auto"/>
              </w:rPr>
              <w:t>(1) Pursuant to our 2011 Equity Incentive Plan.</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preceding table excludes stock options to purchase 576 shares of common stock with an exercise price of $728.77 per share issued pursuant to the Company’s 2005 Stock Option Plan. We do not intend to issue any further grants from this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common stock repurchased by us during the year ended December 31,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Total 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Number of Shares of</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Stock Purchased as</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Price per</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Part of a Publicly Announced</w:t>
            </w:r>
          </w:p>
        </w:tc>
      </w:tr>
      <w:tr>
        <w:trPr>
          <w:trHeight w:val="230"/>
        </w:trPr>
        <w:tc>
          <w:tcPr>
            <w:tcW w:w="6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Period</w:t>
            </w:r>
          </w:p>
        </w:tc>
        <w:tc>
          <w:tcPr>
            <w:tcW w:w="1560" w:type="dxa"/>
            <w:vAlign w:val="bottom"/>
            <w:gridSpan w:val="2"/>
          </w:tcPr>
          <w:p>
            <w:pPr>
              <w:jc w:val="center"/>
              <w:ind w:right="21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Share</w:t>
            </w: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Plan or Program</w:t>
            </w:r>
          </w:p>
        </w:tc>
      </w:tr>
      <w:tr>
        <w:trPr>
          <w:trHeight w:val="223"/>
        </w:trPr>
        <w:tc>
          <w:tcPr>
            <w:tcW w:w="58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November 1, 2012 to November 30, 2012</w:t>
            </w:r>
          </w:p>
        </w:tc>
        <w:tc>
          <w:tcPr>
            <w:tcW w:w="200" w:type="dxa"/>
            <w:vAlign w:val="bottom"/>
            <w:tcBorders>
              <w:top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218,163</w:t>
            </w:r>
          </w:p>
        </w:tc>
        <w:tc>
          <w:tcPr>
            <w:tcW w:w="32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Borders>
              <w:top w:val="single" w:sz="8" w:color="CCFFCC"/>
            </w:tcBorders>
            <w:shd w:val="clear" w:color="auto" w:fill="CCFFCC"/>
          </w:tcPr>
          <w:p>
            <w:pPr>
              <w:spacing w:after="0"/>
              <w:rPr>
                <w:sz w:val="19"/>
                <w:szCs w:val="19"/>
                <w:color w:val="auto"/>
              </w:rPr>
            </w:pPr>
          </w:p>
        </w:tc>
        <w:tc>
          <w:tcPr>
            <w:tcW w:w="2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r>
      <w:tr>
        <w:trPr>
          <w:trHeight w:val="210"/>
        </w:trPr>
        <w:tc>
          <w:tcPr>
            <w:tcW w:w="6040" w:type="dxa"/>
            <w:vAlign w:val="bottom"/>
            <w:tcBorders>
              <w:bottom w:val="single" w:sz="8" w:color="CCFFCC"/>
            </w:tcBorders>
            <w:gridSpan w:val="2"/>
          </w:tcPr>
          <w:p>
            <w:pPr>
              <w:jc w:val="center"/>
              <w:ind w:right="200"/>
              <w:spacing w:after="0"/>
              <w:rPr>
                <w:sz w:val="20"/>
                <w:szCs w:val="20"/>
                <w:color w:val="auto"/>
              </w:rPr>
            </w:pPr>
            <w:r>
              <w:rPr>
                <w:rFonts w:ascii="Arial" w:cs="Arial" w:eastAsia="Arial" w:hAnsi="Arial"/>
                <w:sz w:val="18"/>
                <w:szCs w:val="18"/>
                <w:color w:val="auto"/>
                <w:w w:val="89"/>
              </w:rPr>
              <w:t>December 1, 2012 to December 31, 2012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18,870</w:t>
            </w:r>
          </w:p>
        </w:tc>
        <w:tc>
          <w:tcPr>
            <w:tcW w:w="32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CCFFCC"/>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r>
      <w:tr>
        <w:trPr>
          <w:trHeight w:val="223"/>
        </w:trPr>
        <w:tc>
          <w:tcPr>
            <w:tcW w:w="6040" w:type="dxa"/>
            <w:vAlign w:val="bottom"/>
            <w:tcBorders>
              <w:bottom w:val="single" w:sz="8" w:color="CCFFCC"/>
            </w:tcBorders>
            <w:gridSpan w:val="2"/>
            <w:shd w:val="clear" w:color="auto" w:fill="CCFFCC"/>
          </w:tcPr>
          <w:p>
            <w:pPr>
              <w:jc w:val="center"/>
              <w:ind w:right="200"/>
              <w:spacing w:after="0"/>
              <w:rPr>
                <w:sz w:val="20"/>
                <w:szCs w:val="20"/>
                <w:color w:val="auto"/>
              </w:rPr>
            </w:pPr>
            <w:r>
              <w:rPr>
                <w:rFonts w:ascii="Arial" w:cs="Arial" w:eastAsia="Arial" w:hAnsi="Arial"/>
                <w:sz w:val="18"/>
                <w:szCs w:val="18"/>
                <w:color w:val="auto"/>
                <w:w w:val="89"/>
              </w:rPr>
              <w:t>Total</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237,033</w:t>
            </w:r>
          </w:p>
        </w:tc>
        <w:tc>
          <w:tcPr>
            <w:tcW w:w="3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CCFFCC"/>
            </w:tcBorders>
            <w:shd w:val="clear" w:color="auto" w:fill="CCFFCC"/>
          </w:tcPr>
          <w:p>
            <w:pPr>
              <w:spacing w:after="0"/>
              <w:rPr>
                <w:sz w:val="19"/>
                <w:szCs w:val="19"/>
                <w:color w:val="auto"/>
              </w:rPr>
            </w:pPr>
          </w:p>
        </w:tc>
        <w:tc>
          <w:tcPr>
            <w:tcW w:w="212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repurchased were acquired from employees and directors in connection with the settlement of income tax withholding obligations on behalf of such employees and directors from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29, 2011, (the “Acquisition Date”), the Company merged with Xcel Brands, Inc. (“Old XCel”) and IM Brands, LLC (“IM Brands”), the Company’s wholly-owned subsidiary, acquired the Isaac Mizrahi Business (collectively, the “Transaction”).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engages in the design, licensing, and marketing of the Isaac Mizrahi Brand with a focus on a variety of product categories featuring the Isaac Mizrahi Brand. The Company operates in a “working capital light” business model, licensing the Isaac Mizrahi Brands through its wholly-owned subsidiary IM Brands and generating royalty and design revenues through licensing and other agreements with wholesale manufacturers, sourcing and design companies, and retailers. Prior to our acquisition of the Isaac Mizrahi Business, the business was a division of IM Ready-Made, LLC (“IM Ready”).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 of our accounting policies involve management judgments and estimates that could be significant. The policies with the greatest potential effect on our consolidated results of operations and financial position include the estimate of contingent obligations to IM Ready, based on our revenue performance. Due to our licensing model, we do not have any inventory risk and have reduced our operating risks, and can reasonably forecast revenues and plan expenditures based upon guaranteed royalty minimums and sales projections provided by our retail licensees.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licensing model,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 In addition, we also receive fees for design and other services. Design and service fees are recorded and recognized in accordance with the terms and conditions of each design fee contract, including the Company meeting its obligations and providing the relevant services under each contract. Generally, we record on a straight line basis each base fee as stated in each design fee service agreement for the covered period and, if applicable, we recognize additional payments received that are related to a future period as deferred revenue, until service is provided or revenue is earned.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Financial Accounting Standards Board’s (“FASB”) Accounting Standards Codification (“ASC”) Topic 350” for Intangibles, Goodwill, and Other. Under this standard, goodwill and indefinite lived assets are not amortized. The Company has deemed its trademarks to have indefinite lives, and are not amortized. Under this standard, the Company annually has the option to first assess qualitatively whether it is more likely than not that there is an impairment. Impairment losses are measured by comparing the fair value of the assets to their carrying amount. The Company’s definite lived intangible assets are amortized over their estimated useful lives.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stock-based compensation in accordance with ASC Topic 718 by recognizing the fair value of stock-based compensation in the consolidated statements of operations. The fair value of the Company’s stock option awards are estimated using the Black-Scholes option valuation model and restricted stock awards are valued at the fair value of the Company’s stock at the time of grant. The Black-Scholes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service period of the awards. Stock-based compensation that relates to contract performance is amortized over the term of the corresponding contract.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cost for restricted stock is measured using the fair value of the Company’s common stock at the date the common stock is granted. The compensation cost is recognized over the period between the grant date and the date any restrictions lapse. For stock-based awards that vest based on performance conditions (e.g. achievement of certain milestones), expense is recognized when it is probable that the condition will be met.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continues to analyze and quantify contingent obligations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and related notes included elsewhere in this Form 10-K are as of, or for the year ended December 31, 2012 (the “Current Year”), and the year ended December 31, 2011 which includes on an unaudited pro forma basis, the aggregate results of the Company for the period September 29, 2011 to December 31, 2011(the “Successor Prior Year Period”) and IM Ready for the period January 1, 2011 to September 28, 2011(the “Predecessor Prior Year Period”, together with the Successor Prior Year Period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the year ended December 31, 2011 Pro-forma.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Current Year results are compared with the Prior Year on an unaudited pro-forma basis, as presented in the table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Pro-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 Statements of Operations of the Predecessor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22"/>
                <w:szCs w:val="22"/>
                <w:b w:val="1"/>
                <w:bCs w:val="1"/>
                <w:color w:val="auto"/>
                <w:w w:val="80"/>
              </w:rPr>
              <w:t>Successor</w:t>
            </w:r>
          </w:p>
        </w:tc>
        <w:tc>
          <w:tcPr>
            <w:tcW w:w="80" w:type="dxa"/>
            <w:vAlign w:val="bottom"/>
          </w:tcPr>
          <w:p>
            <w:pPr>
              <w:spacing w:after="0"/>
              <w:rPr>
                <w:sz w:val="23"/>
                <w:szCs w:val="23"/>
                <w:color w:val="auto"/>
              </w:rPr>
            </w:pPr>
          </w:p>
        </w:tc>
        <w:tc>
          <w:tcPr>
            <w:tcW w:w="1660" w:type="dxa"/>
            <w:vAlign w:val="bottom"/>
            <w:gridSpan w:val="3"/>
            <w:vMerge w:val="restart"/>
          </w:tcPr>
          <w:p>
            <w:pPr>
              <w:jc w:val="right"/>
              <w:ind w:right="380"/>
              <w:spacing w:after="0"/>
              <w:rPr>
                <w:sz w:val="20"/>
                <w:szCs w:val="20"/>
                <w:color w:val="auto"/>
              </w:rPr>
            </w:pPr>
            <w:r>
              <w:rPr>
                <w:rFonts w:ascii="Arial" w:cs="Arial" w:eastAsia="Arial" w:hAnsi="Arial"/>
                <w:sz w:val="18"/>
                <w:szCs w:val="18"/>
                <w:b w:val="1"/>
                <w:bCs w:val="1"/>
                <w:color w:val="auto"/>
                <w:w w:val="96"/>
              </w:rPr>
              <w:t>Pro-forma Year</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0"/>
              </w:rPr>
              <w:t>Successor</w:t>
            </w:r>
          </w:p>
        </w:tc>
        <w:tc>
          <w:tcPr>
            <w:tcW w:w="140" w:type="dxa"/>
            <w:vAlign w:val="bottom"/>
          </w:tcPr>
          <w:p>
            <w:pPr>
              <w:spacing w:after="0"/>
              <w:rPr>
                <w:sz w:val="23"/>
                <w:szCs w:val="23"/>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3"/>
              </w:rPr>
              <w:t>Predecessor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29"/>
              <w:spacing w:after="0" w:line="191" w:lineRule="exact"/>
              <w:rPr>
                <w:sz w:val="20"/>
                <w:szCs w:val="20"/>
                <w:color w:val="auto"/>
              </w:rPr>
            </w:pPr>
            <w:r>
              <w:rPr>
                <w:rFonts w:ascii="Arial" w:cs="Arial" w:eastAsia="Arial" w:hAnsi="Arial"/>
                <w:sz w:val="18"/>
                <w:szCs w:val="18"/>
                <w:b w:val="1"/>
                <w:bCs w:val="1"/>
                <w:color w:val="auto"/>
                <w:w w:val="92"/>
              </w:rPr>
              <w:t>Year Ended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29"/>
              <w:spacing w:after="0" w:line="191" w:lineRule="exact"/>
              <w:rPr>
                <w:sz w:val="20"/>
                <w:szCs w:val="20"/>
                <w:color w:val="auto"/>
              </w:rPr>
            </w:pPr>
            <w:r>
              <w:rPr>
                <w:rFonts w:ascii="Arial" w:cs="Arial" w:eastAsia="Arial" w:hAnsi="Arial"/>
                <w:sz w:val="18"/>
                <w:szCs w:val="18"/>
                <w:b w:val="1"/>
                <w:bCs w:val="1"/>
                <w:color w:val="auto"/>
                <w:w w:val="90"/>
              </w:rPr>
              <w:t>For the period</w:t>
            </w:r>
          </w:p>
        </w:tc>
        <w:tc>
          <w:tcPr>
            <w:tcW w:w="200" w:type="dxa"/>
            <w:vAlign w:val="bottom"/>
          </w:tcPr>
          <w:p>
            <w:pPr>
              <w:spacing w:after="0"/>
              <w:rPr>
                <w:sz w:val="16"/>
                <w:szCs w:val="16"/>
                <w:color w:val="auto"/>
              </w:rPr>
            </w:pPr>
          </w:p>
        </w:tc>
        <w:tc>
          <w:tcPr>
            <w:tcW w:w="15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For the period Jan.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Ended December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Sept. 29, 2011 to</w:t>
            </w: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1, 2011 to Sept.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29"/>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31, 2011 (1)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Adjustments</w:t>
            </w:r>
          </w:p>
        </w:tc>
        <w:tc>
          <w:tcPr>
            <w:tcW w:w="1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360" w:type="dxa"/>
            <w:vAlign w:val="bottom"/>
          </w:tcPr>
          <w:p>
            <w:pPr>
              <w:jc w:val="center"/>
              <w:ind w:right="49"/>
              <w:spacing w:after="0"/>
              <w:rPr>
                <w:sz w:val="20"/>
                <w:szCs w:val="20"/>
                <w:color w:val="auto"/>
              </w:rPr>
            </w:pPr>
            <w:r>
              <w:rPr>
                <w:rFonts w:ascii="Arial" w:cs="Arial" w:eastAsia="Arial" w:hAnsi="Arial"/>
                <w:sz w:val="18"/>
                <w:szCs w:val="18"/>
                <w:b w:val="1"/>
                <w:bCs w:val="1"/>
                <w:color w:val="auto"/>
                <w:w w:val="92"/>
              </w:rPr>
              <w:t>2011 (1)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Licensing revenue</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10,872,000</w:t>
            </w:r>
          </w:p>
        </w:tc>
        <w:tc>
          <w:tcPr>
            <w:tcW w:w="2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10,527,000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2,616,000</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7,911,000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Design and service fee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2,271,000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282,000</w:t>
            </w: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13,143,000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11,627,000</w:t>
            </w:r>
          </w:p>
        </w:tc>
        <w:tc>
          <w:tcPr>
            <w:tcW w:w="3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2,898,000</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Direct licensing costs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440,000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252,000</w:t>
            </w: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4"/>
              </w:rPr>
              <w:t>Net licensing, design and service fee revenue</w:t>
            </w: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12,703,000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11,375,000</w:t>
            </w:r>
          </w:p>
        </w:tc>
        <w:tc>
          <w:tcPr>
            <w:tcW w:w="3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2,646,000</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Design and marketing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5,424,000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3,813,000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7,452,000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2,807,000</w:t>
            </w: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1,423,000</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856,000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816,000(2)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211,000</w:t>
            </w: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13,732,000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7,436,000</w:t>
            </w:r>
          </w:p>
        </w:tc>
        <w:tc>
          <w:tcPr>
            <w:tcW w:w="3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394,000</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2,661,000</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4,381,000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Other expenses (income)</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Acquisition and due diligence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(498,000)</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498,000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 on extinguishment of debt</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(422,000)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w w:val="96"/>
              </w:rPr>
              <w:t>Gain on reduction of contingent obligations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other expenses (income)</w:t>
            </w: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(6,722,000</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(498,000</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498,000</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5,693,000</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3,939,000</w:t>
            </w:r>
          </w:p>
        </w:tc>
        <w:tc>
          <w:tcPr>
            <w:tcW w:w="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(513,000)</w:t>
            </w:r>
          </w:p>
        </w:tc>
        <w:tc>
          <w:tcPr>
            <w:tcW w:w="14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4,348,000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Interest and finance costs</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Interest expenses -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1,148,000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1,148,000(4)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296,000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interest and finance charges</w:t>
            </w:r>
          </w:p>
        </w:tc>
        <w:tc>
          <w:tcPr>
            <w:tcW w:w="1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1,027,000</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988,000(4)</w:t>
            </w:r>
          </w:p>
        </w:tc>
        <w:tc>
          <w:tcPr>
            <w:tcW w:w="1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738,000</w:t>
            </w: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interest and finance costs</w:t>
            </w:r>
          </w:p>
        </w:tc>
        <w:tc>
          <w:tcPr>
            <w:tcW w:w="1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2,136,000</w:t>
            </w:r>
          </w:p>
        </w:tc>
        <w:tc>
          <w:tcPr>
            <w:tcW w:w="3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1,590,000</w:t>
            </w:r>
          </w:p>
        </w:tc>
        <w:tc>
          <w:tcPr>
            <w:tcW w:w="2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546,000</w:t>
            </w:r>
          </w:p>
        </w:tc>
        <w:tc>
          <w:tcPr>
            <w:tcW w:w="20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3,518,000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1,803,000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(1,486,000)</w:t>
            </w: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(1,059,000)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4,348,000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(766,000)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721,000(5)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(190,000)</w:t>
            </w: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4,284,000</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1,082,000</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(2,222,000)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(869,000)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4,173,000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08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32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3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EPS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0.62</w:t>
            </w:r>
          </w:p>
        </w:tc>
        <w:tc>
          <w:tcPr>
            <w:tcW w:w="2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FFCC"/>
              <w:bottom w:val="single" w:sz="8" w:color="CCFFCC"/>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FFCC"/>
              <w:bottom w:val="single" w:sz="8" w:color="CCFF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bottom w:val="single" w:sz="8" w:color="CCFFCC"/>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bottom w:val="single" w:sz="8" w:color="CCFFCC"/>
            </w:tcBorders>
            <w:vMerge w:val="restart"/>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Borders>
              <w:bottom w:val="single" w:sz="8" w:color="CCFFCC"/>
            </w:tcBorders>
            <w:vMerge w:val="continue"/>
          </w:tcPr>
          <w:p>
            <w:pPr>
              <w:spacing w:after="0"/>
              <w:rPr>
                <w:sz w:val="20"/>
                <w:szCs w:val="20"/>
                <w:color w:val="auto"/>
              </w:rPr>
            </w:pPr>
          </w:p>
        </w:tc>
        <w:tc>
          <w:tcPr>
            <w:tcW w:w="180" w:type="dxa"/>
            <w:vAlign w:val="bottom"/>
            <w:tcBorders>
              <w:bottom w:val="single" w:sz="8" w:color="CCFFCC"/>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140" w:type="dxa"/>
            <w:vAlign w:val="bottom"/>
            <w:tcBorders>
              <w:bottom w:val="single" w:sz="8" w:color="CCFFCC"/>
            </w:tcBorders>
            <w:vMerge w:val="continue"/>
          </w:tcPr>
          <w:p>
            <w:pPr>
              <w:spacing w:after="0"/>
              <w:rPr>
                <w:sz w:val="20"/>
                <w:szCs w:val="20"/>
                <w:color w:val="auto"/>
              </w:rPr>
            </w:pPr>
          </w:p>
        </w:tc>
        <w:tc>
          <w:tcPr>
            <w:tcW w:w="8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320" w:type="dxa"/>
            <w:vAlign w:val="bottom"/>
            <w:tcBorders>
              <w:bottom w:val="single" w:sz="8" w:color="CCFFCC"/>
            </w:tcBorders>
            <w:vMerge w:val="continue"/>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100" w:type="dxa"/>
            <w:vAlign w:val="bottom"/>
            <w:tcBorders>
              <w:bottom w:val="single" w:sz="8" w:color="CCFFCC"/>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340" w:type="dxa"/>
            <w:vAlign w:val="bottom"/>
            <w:tcBorders>
              <w:bottom w:val="single" w:sz="8" w:color="CCFFCC"/>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136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6,936,452</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5,750,259(6)</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FFCC"/>
              <w:bottom w:val="single" w:sz="8" w:color="CCFFCC"/>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bottom w:val="single" w:sz="8" w:color="CCFFCC"/>
            </w:tcBorders>
            <w:vMerge w:val="restart"/>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7,577,561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6,546,252(7)</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Footnotes to the Unaudited Pro-forma Consolidated Statement of Operations</w:t>
      </w:r>
    </w:p>
    <w:p>
      <w:pPr>
        <w:spacing w:after="0" w:line="22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Current Year results are compared with the Prior Year on an unaudited pro-forma basis.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2011.</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adjustment is designed to eliminate expenses that are not required in the operation of the business and non-recurring in nature.</w:t>
      </w:r>
    </w:p>
    <w:p>
      <w:pPr>
        <w:spacing w:after="0" w:line="9" w:lineRule="exact"/>
        <w:rPr>
          <w:rFonts w:ascii="Arial" w:cs="Arial" w:eastAsia="Arial" w:hAnsi="Arial"/>
          <w:sz w:val="18"/>
          <w:szCs w:val="18"/>
          <w:color w:val="auto"/>
        </w:rPr>
      </w:pPr>
    </w:p>
    <w:p>
      <w:pPr>
        <w:ind w:right="100" w:firstLine="8"/>
        <w:spacing w:after="0" w:line="25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January 1, 2011.</w:t>
      </w: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40% income tax rate.</w:t>
      </w:r>
    </w:p>
    <w:p>
      <w:pPr>
        <w:spacing w:after="0" w:line="9" w:lineRule="exact"/>
        <w:rPr>
          <w:rFonts w:ascii="Arial" w:cs="Arial" w:eastAsia="Arial" w:hAnsi="Arial"/>
          <w:sz w:val="18"/>
          <w:szCs w:val="18"/>
          <w:color w:val="auto"/>
        </w:rPr>
      </w:pPr>
    </w:p>
    <w:p>
      <w:pPr>
        <w:ind w:right="520" w:firstLine="8"/>
        <w:spacing w:after="0" w:line="25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number of basic common shares presented on a pro-forma basis for the Prior Years is equal to the number of shares that were outstanding immediately after the acquisition of the Isaac Mizrahi Business.</w:t>
      </w:r>
    </w:p>
    <w:p>
      <w:pPr>
        <w:ind w:right="4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number of common shares, on a diluted basis presented on a pro-forma basis for the Prior Year is equal to the number of shares that were outstanding immediately after the acquisition of the Isaac Mizrahi Business plus options and warrants that could be exercised into additional common shares measured immediately after the acquisition of the Isaac Mizrahi Business.</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Net Licensing, Design and Service Fee Revenue. </w:t>
      </w:r>
      <w:r>
        <w:rPr>
          <w:rFonts w:ascii="Arial" w:cs="Arial" w:eastAsia="Arial" w:hAnsi="Arial"/>
          <w:sz w:val="16"/>
          <w:szCs w:val="16"/>
          <w:color w:val="auto"/>
        </w:rPr>
        <w:t>Net revenue for the Current Year increased by $1,328,000 to $12,703,000 compared to $11,375,000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Revenue from the Company’s direct-response television business, consisting of Isaac Mizrahi and Liz Claiborne products sold through QVC increased by $938,000 over the Prior Year. Other licensing revenue increased by $1,155,000 over the Prior Year by virtue of the new licenses that commenced on or after October 1, 2011. Design and service fee income increased by $1,171,000 to $2,271,000 compared with the Prior Year. Current Year’s design and service fee revenue included a $1,150,000 fee that was earned from a contract in which we met all of our obligations and recognized all of the revenues in the Current Year. The combined increase stated above of $3,264,000 was partially off-set by $1,748,000 of licensing revenue recognized in the Prior Year from amortization of a one-time payment received by the Predecessor prior to 2011. The Company incurred direct licensing costs of $440,000 during the Current Year compared to $252,000 in the Prior Year, which resulted in an increase in net licensing and design and service fee revenue of $1,328,000.</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totaled $13,732,000 in the Current Year compared to $7,436,000 in the Prior Year, an increase of $6,296,000.</w:t>
      </w:r>
      <w:r>
        <w:rPr>
          <w:rFonts w:ascii="Arial" w:cs="Arial" w:eastAsia="Arial" w:hAnsi="Arial"/>
          <w:sz w:val="17"/>
          <w:szCs w:val="17"/>
          <w:i w:val="1"/>
          <w:iCs w:val="1"/>
          <w:color w:val="auto"/>
        </w:rPr>
        <w:t xml:space="preserve"> </w:t>
      </w:r>
      <w:r>
        <w:rPr>
          <w:rFonts w:ascii="Arial" w:cs="Arial" w:eastAsia="Arial" w:hAnsi="Arial"/>
          <w:sz w:val="17"/>
          <w:szCs w:val="17"/>
          <w:color w:val="auto"/>
        </w:rPr>
        <w:t>Design and marketing expenses increased to $5,424,000 from the Prior Year of $3,813,000. This increase was primarily related to the increase in compensation expenses, including an increase of $776,000 of stock-based compensation, and an increase in costs associated with the interactive media business increased sales volume and expanded licensing business. General and administrative expenses increased by $4,645,000 from the Prior Year to $7,452,000, mostly relating to executive management compensation expense, including an increase of stock-based compensation expense of $3,317,000, and other costs associated with being a public company. Total stock-based compensation expense of $4,623,000 increased by $4,093,000 compared with the Prior Year of $530,000. Depreciation and amortization increased by $40,000.</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expenses (Income). </w:t>
      </w:r>
      <w:r>
        <w:rPr>
          <w:rFonts w:ascii="Arial" w:cs="Arial" w:eastAsia="Arial" w:hAnsi="Arial"/>
          <w:sz w:val="16"/>
          <w:szCs w:val="16"/>
          <w:color w:val="auto"/>
        </w:rPr>
        <w:t>The Company realized a $422,000 gain on extinguishment of debt and $6,300,000 gain on reduction of contingent obligations.</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gain on extinguishment of debt of $422,000 was the result of the early termination of the Earthbound obligation by a payment of a combination of cash and stock for an amount less than the carrying value of the obligation. The gain on reduction of contingent obligations of $6,300,000 was due to an adjustment of management’s projected assumptions which determine earn-out consideration for IM Ready. The revised revenue projections when compared with target levels of Isaac Mizrahi Business revenues required for earn-out consideration reduced the Company’s contingent obligation accordingly.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for the Current Year was $5,693,000 compared to $3,939,000 for the Prior Year based on the information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revenue and operating expense and other expenses (income) sections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i w:val="1"/>
          <w:iCs w:val="1"/>
          <w:color w:val="auto"/>
        </w:rPr>
        <w:t xml:space="preserve">Interest and Finance Costs. </w:t>
      </w:r>
      <w:r>
        <w:rPr>
          <w:rFonts w:ascii="Arial" w:cs="Arial" w:eastAsia="Arial" w:hAnsi="Arial"/>
          <w:sz w:val="18"/>
          <w:szCs w:val="18"/>
          <w:color w:val="auto"/>
        </w:rPr>
        <w:t>Interest and finance costs for the Current Year increased by $39,000 to $2,175,000 compared to $2,136,000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on an actual basis the Predecessor had no interest or other finance costs. Interest expense and other finance costs for the Prior Year are stated as if the acquisition of the Isaac Mizrahi Business and related financing occurred January 1, 2011.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income tax rate for the Current Year was approximately (22%) resulting in a $766,000 income tax benefit.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income tax rate for the Prior Year was 40% which resulted in $721,000 of income tax expense. The Current Year’s deferred tax benefit has been adjusted by (72%) to account for permanent tax difference related to the gain on reduction of tax obligations and an additional 10% adjustment related to other permanent difference, deferred rate change and other miscellaneous adjustments.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was $4,284,000 in the Current Year, compared to net income of $1,082,000 in the Prior Year, as a result of the factors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December 31, 2012 our unrestricted cash and cash equivalents totaled $3,929,000.</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including the debt service under our term loan facility for the next twelve months. We are dependent on our licensees for most of our revenues, and there is no assurance that the licensees will perform as projected.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model does not require significant capital expenditures, nor does it require us to invest in inventory. Although we are limited to $400,000 per year in capital expenditures under the loan agreement, we estimate that capital expenditures for the next twelve months will be less than this amount, including for upgrading technology, and equipment and fixture needs and making necessary improvements to our leased premises. Therefore, we do not believe that this covenant will restrict expected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operating activities for the Current Year approximated $2,600,000 compared with the Successor Prior Year Period used cash in operations totaling $2,059,000. The Current Year net income of $4,300,000 was off-set by adjustments for non-cash items of $(1,200,000) and a net change in operating assets and liabilities of ($500,000). The non-cash adjustments consisted of stock-based compensation of $4,600,000, non-cash interest expense and other finance costs of $900,000, depreciation and amortization of $900,000, less deferred income tax (benefit) of $900,000, gain on extinguishment of debt of $400,000, and gain on reduction of contingent obligations of $6,300,000.</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Predecessor Prior Year Period cash flow requirements for the Isaac Mizrahi Business were funded by IM Ready, and cash management functions were not performed at the Isaac Mizrahi Business level. The Isaac Mizrahi Business did not maintain a separate cash account and it is not possible to determine the cash flows directly attributable to the Isaac Mizrahi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$117,000 for the Current Year resulting from the purchase of equipment and fixtures. The Company reduced restricted cash by $175,000 by depositing this sum into a refundable security deposit with our landlord. Net cash used in investing activities for the Successor Prior Year Period was $12 million, primarily related to the acquisition of the Isaac Mizrahi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was $1,263,000 for the Current Year. The Company received a refund of $22,000 for finance costs and received payments totaling $2,000 for warrants exercised during 2012. The Company made principal payments of $17,000 under its capital lease obligations, $556,000 under its debt obligation including the extinguishment of this obligation (see Item 13 for additional details), incurred expenses related to equity and recapitalization of $3,000, and repurchased shares of restricted stock that had vested totaling $711,000. Net cash provided by financing activities for the Successor Prior Year Period was $16,800,000, primarily related to the equity and term debt proceeds, less associated costs relating to the acquisition of the Isaac Mizrahi Business and recapitalization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u w:val="single" w:color="auto"/>
          <w:color w:val="auto"/>
        </w:rPr>
        <w:t>Term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Our term loan facility requires us to pay current interest quarterly at 8.5% per annum. Principal payments begin on January 5, 2013 of $337,500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quarter during 2013, and increasing thereafter. The following table presents the principal payments under our term loan facility.</w:t>
      </w:r>
    </w:p>
    <w:p>
      <w:pPr>
        <w:spacing w:after="0" w:line="16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w w:val="92"/>
              </w:rPr>
              <w:t>Year Ending December 31,</w:t>
            </w:r>
          </w:p>
        </w:tc>
      </w:tr>
      <w:tr>
        <w:trPr>
          <w:trHeight w:val="210"/>
        </w:trPr>
        <w:tc>
          <w:tcPr>
            <w:tcW w:w="4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6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1,350,000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2014</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2,025,000</w:t>
            </w:r>
          </w:p>
        </w:tc>
        <w:tc>
          <w:tcPr>
            <w:tcW w:w="60" w:type="dxa"/>
            <w:vAlign w:val="bottom"/>
          </w:tcPr>
          <w:p>
            <w:pPr>
              <w:spacing w:after="0"/>
              <w:rPr>
                <w:sz w:val="18"/>
                <w:szCs w:val="18"/>
                <w:color w:val="auto"/>
              </w:rPr>
            </w:pPr>
          </w:p>
        </w:tc>
      </w:tr>
      <w:tr>
        <w:trPr>
          <w:trHeight w:val="216"/>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6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3,375,000</w:t>
            </w:r>
          </w:p>
        </w:tc>
        <w:tc>
          <w:tcPr>
            <w:tcW w:w="60" w:type="dxa"/>
            <w:vAlign w:val="bottom"/>
            <w:shd w:val="clear" w:color="auto" w:fill="CCFFCC"/>
          </w:tcPr>
          <w:p>
            <w:pPr>
              <w:spacing w:after="0"/>
              <w:rPr>
                <w:sz w:val="18"/>
                <w:szCs w:val="18"/>
                <w:color w:val="auto"/>
              </w:rPr>
            </w:pPr>
          </w:p>
        </w:tc>
      </w:tr>
      <w:tr>
        <w:trPr>
          <w:trHeight w:val="230"/>
        </w:trPr>
        <w:tc>
          <w:tcPr>
            <w:tcW w:w="48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2016</w:t>
            </w: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6,750,000</w:t>
            </w:r>
          </w:p>
        </w:tc>
        <w:tc>
          <w:tcPr>
            <w:tcW w:w="60" w:type="dxa"/>
            <w:vAlign w:val="bottom"/>
            <w:tcBorders>
              <w:bottom w:val="single" w:sz="8" w:color="CCFFCC"/>
            </w:tcBorders>
          </w:tcPr>
          <w:p>
            <w:pPr>
              <w:spacing w:after="0"/>
              <w:rPr>
                <w:sz w:val="19"/>
                <w:szCs w:val="19"/>
                <w:color w:val="auto"/>
              </w:rPr>
            </w:pPr>
          </w:p>
        </w:tc>
      </w:tr>
      <w:tr>
        <w:trPr>
          <w:trHeight w:val="223"/>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13,500,000</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cash from future operations as well as currently available cash will be sufficient to satisfy our anticipated working capital requirements for the foreseeable future, including the debt service on the Loan and making necessary upgrades to our infrastructure and technology. Our obligations to make principal payments on our term debt during the next 12 months is $1,350,000.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Seller Note and the contingent obligations under the earn-out provisions described below are payable in stock and or cash, at the Company’s discretion. Payment of these obligations in stock would not affect the Company’s liquidity.</w:t>
      </w:r>
    </w:p>
    <w:p>
      <w:pPr>
        <w:spacing w:after="0" w:line="3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u w:val="single" w:color="auto"/>
          <w:color w:val="auto"/>
        </w:rPr>
        <w:t>Seller Note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issued a promissory note (the “Seller Note”) in the principal amount of $7,377,000 to IM Ready as partial consideration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of the Isaac Mizrahi Business. The stated interest rate of the Seller Note is 0.25%. Management has determined that this rate is below the Company’s expected borrowing rate, which is 9.25%. Therefore, the Company has discounted the Seller Note by $1,740,000 using a 9.0%, imputed annual interest rate, resulting in an initial value of $5,637,000. In addition, the Company pre-paid $123,000 of interest on the Seller Note on the Closing Date. The discount is amortized into (increases) the basis of the Seller Note over the term of the Seller Note. The Seller Note initially matures on September 29, 2014 (the “Maturity Date”) subject to extension as described below (the date to which the maturity date of the Seller Note is extended is referred to as the “Subsequent Maturity Date”). We have the right to pay the Seller Note at the Maturity Date in cash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Subsequent Maturity Date. In addition, at any time the Seller Note is outstanding, we have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52" w:lineRule="auto"/>
        <w:rPr>
          <w:sz w:val="20"/>
          <w:szCs w:val="20"/>
          <w:color w:val="auto"/>
        </w:rPr>
      </w:pPr>
      <w:r>
        <w:rPr>
          <w:rFonts w:ascii="Arial" w:cs="Arial" w:eastAsia="Arial" w:hAnsi="Arial"/>
          <w:sz w:val="18"/>
          <w:szCs w:val="18"/>
          <w:b w:val="1"/>
          <w:bCs w:val="1"/>
          <w:i w:val="1"/>
          <w:iCs w:val="1"/>
          <w:u w:val="single" w:color="auto"/>
          <w:color w:val="auto"/>
        </w:rPr>
        <w:t>Earn-out obligation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 Ready is eligible to earn additional shares of Common Stock with a value of up to $7,500,000 (the “Earn-Out Value”) each year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next three consecutive 12-month periods ending September 30, 2013, 2014 and 2015, with the number of shares to be issued based upon the greater of (i) $4.50 per share and (ii) the average stock price for the last twenty days in such period, and with such earn-out payment contingent upon the Isaac Mizrahi Business achieving net royalty income targets set forth below during those years (the Earn-out Obligation”). IM Ready was eligible to earn additional shares of Common Stock for the fiscal year ended September 30, 2012, but did not meet the minimum net royalty income target. The Earn-Out Obligation is recorded on the Company’s Consolidated Balance Sheet as an $8,700,000 long term liability. The amount is based on management’s estimated revenue over these periods. Any future change in the Earn-Out Obligation will result in an expense or income in the period in which it is determined fair market value of the carrying value has changed. See Note 5, Debt, to the Notes to Consolidated financial Statements for the royalty targets and percentage of the potential earn-out value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Earn-Out Value is payable solely in stock.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u w:val="single" w:color="auto"/>
          <w:color w:val="auto"/>
        </w:rPr>
        <w:t>QVC Earn-out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QVC Earn-Out payment requires the Company to pay IM Ready $2,800,000, payable in cash or Common Stock,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contingent upon the Isaac Mizrahi Business receiving aggregate net royalty income of at least $2,500,000 from QVC in the 12-month period ending September 30, 2015 with such stock based upon the greater of (x) $4.50 per share, and (y) the average stock price for the last twenty days prior to the time of such issuance (the “QVC Earn-out’). The current term of the QVC Agreement runs through September 30, 2015. Management has determined that it is probable that the $2,500,000 in net royalty income from QVC will be met. Any change in the expected obligation will result in an expense or income in the period in which it is determined fair market value has changed.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Isaac Mizrahi Brands, as well as diversify the distribution channels within which licensed products are sold, in an effort to reduce dependence on any particular retailer, consumer or market sector.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(benefit) is based on an effective income tax rate, which is comprised of the federal statutory rate and a state and local tax rate, net of federal effect. Our state and local tax rate is affected by the location of earned revenue and certain incurred expenses in determining state and local income tax allocations. Accordingly, our state and local tax rate, net of federal effect may vary and could have a material impact on the fair value of our deferred tax assets and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30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 - Year Ended December 31, 2011</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 - Year Ended December 31, 2012</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Statement of Changes in Parent’s Equity in Unit and Consolidated Statement of Stockholders’ Equity</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9300" w:type="dxa"/>
            <w:vAlign w:val="bottom"/>
            <w:tcBorders>
              <w:bottom w:val="single" w:sz="8" w:color="auto"/>
            </w:tcBorders>
          </w:tcPr>
          <w:p>
            <w:pPr>
              <w:jc w:val="right"/>
              <w:ind w:right="3430"/>
              <w:spacing w:after="0"/>
              <w:rPr>
                <w:sz w:val="20"/>
                <w:szCs w:val="20"/>
                <w:color w:val="auto"/>
              </w:rPr>
            </w:pPr>
            <w:r>
              <w:rPr>
                <w:rFonts w:ascii="Arial" w:cs="Arial" w:eastAsia="Arial" w:hAnsi="Arial"/>
                <w:sz w:val="18"/>
                <w:szCs w:val="18"/>
                <w:color w:val="auto"/>
              </w:rPr>
              <w:t>34</w:t>
            </w:r>
          </w:p>
        </w:tc>
        <w:tc>
          <w:tcPr>
            <w:tcW w:w="2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Xcel Brands, Inc. and Subsidiaries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 of Xcel Brands, Inc. and Subsidiaries (the “Successor”) as of December 31, 2011, and the related consolidated statements of operations, statement of stockholders’ equity, and cash flows for the period from September 29, 2011 to December 31, 2011 (referred to as the Successor period). We have also audited the statements of operations, changes in parent’s equity in unit, and cash flows of the Isaac Mizrahi Business (a division of IM Ready-Made, LLC) (the “Predecessor”) for the period January 1, 2011 to September 28, 2011 (referred to as the Predecessor period). These financial statements are the responsibility of the Successor and Predecessor management. Our responsibility is to express an opinion on these financial statements based on our audits.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Successor (Xcel Brands, Inc. and Subsidiaries) and the Predecessor (Isaac Mizrahi Business) for the periods set forth in the first paragraph, in conformity with accounting principles generally accepted in the United States of America.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described in Note 2, the financial statements covered by the Predecessor period have been prepared using the assets, liabilities, revenues and expenses related to the historical operations of Isaac Mizrahi Business on a carve-out basis and are not necessarily indicative of the costs and expenses that would have resulted if the Isaac Mizrahi Business had been operated as a separate entity. Certain expenses represent allocations and estimates of costs from IM Ready-Made, LLC. Allocations and estimates are based on assumptions that management believes are reasonable under the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Rothstein Kass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Xcel Brands, Inc. and Subsidiary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Xcel Brands, Inc. and Subsidiary as of December 31, 2012, and the related consolidated statements of operations, shareholders’ equity, and cash flows for the year then ended. Xcel Brands, Inc. and Subsidiary’s management is responsible for these financial statements. Our responsibility is to express an opinion on these financial statements based on our audit.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Xcel Brands, Inc. and Subsidiary as of December 31, 2012 and the consolidated results of its operations and its cash flows for the year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December 31, 2012</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00" w:type="dxa"/>
            <w:vAlign w:val="bottom"/>
            <w:tcBorders>
              <w:top w:val="single" w:sz="8" w:color="CCFFCC"/>
            </w:tcBorders>
            <w:gridSpan w:val="3"/>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FFCC"/>
          </w:tcPr>
          <w:p>
            <w:pPr>
              <w:spacing w:after="0"/>
              <w:rPr>
                <w:sz w:val="14"/>
                <w:szCs w:val="14"/>
                <w:color w:val="auto"/>
              </w:rPr>
            </w:pPr>
          </w:p>
        </w:tc>
        <w:tc>
          <w:tcPr>
            <w:tcW w:w="1080" w:type="dxa"/>
            <w:vAlign w:val="bottom"/>
            <w:tcBorders>
              <w:top w:val="single" w:sz="8" w:color="auto"/>
            </w:tcBorders>
            <w:shd w:val="clear" w:color="auto" w:fill="CCFFCC"/>
          </w:tcPr>
          <w:p>
            <w:pPr>
              <w:spacing w:after="0"/>
              <w:rPr>
                <w:sz w:val="14"/>
                <w:szCs w:val="14"/>
                <w:color w:val="auto"/>
              </w:rPr>
            </w:pPr>
          </w:p>
        </w:tc>
        <w:tc>
          <w:tcPr>
            <w:tcW w:w="320" w:type="dxa"/>
            <w:vAlign w:val="bottom"/>
            <w:tcBorders>
              <w:top w:val="single" w:sz="8" w:color="CCFFCC"/>
            </w:tcBorders>
            <w:shd w:val="clear" w:color="auto" w:fill="CCFFCC"/>
          </w:tcPr>
          <w:p>
            <w:pPr>
              <w:spacing w:after="0"/>
              <w:rPr>
                <w:sz w:val="14"/>
                <w:szCs w:val="14"/>
                <w:color w:val="auto"/>
              </w:rPr>
            </w:pPr>
          </w:p>
        </w:tc>
        <w:tc>
          <w:tcPr>
            <w:tcW w:w="360" w:type="dxa"/>
            <w:vAlign w:val="bottom"/>
            <w:tcBorders>
              <w:top w:val="single" w:sz="8" w:color="auto"/>
            </w:tcBorders>
            <w:shd w:val="clear" w:color="auto" w:fill="CCFFCC"/>
          </w:tcPr>
          <w:p>
            <w:pPr>
              <w:spacing w:after="0"/>
              <w:rPr>
                <w:sz w:val="14"/>
                <w:szCs w:val="14"/>
                <w:color w:val="auto"/>
              </w:rPr>
            </w:pPr>
          </w:p>
        </w:tc>
        <w:tc>
          <w:tcPr>
            <w:tcW w:w="10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53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3,929,000</w:t>
            </w: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3,428,000</w:t>
            </w: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329,000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FFCC"/>
            </w:tcBorders>
            <w:gridSpan w:val="3"/>
          </w:tcPr>
          <w:p>
            <w:pPr>
              <w:ind w:left="3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7,686,000</w:t>
            </w:r>
          </w:p>
        </w:tc>
        <w:tc>
          <w:tcPr>
            <w:tcW w:w="3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Leasehold improvements, furniture and equipment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403,000</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FFCC"/>
            </w:tcBorders>
            <w:gridSpan w:val="3"/>
          </w:tcPr>
          <w:p>
            <w:pPr>
              <w:ind w:left="30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1,113,000</w:t>
            </w:r>
          </w:p>
        </w:tc>
        <w:tc>
          <w:tcPr>
            <w:tcW w:w="3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Trademarks and other intangibles, net</w:t>
            </w:r>
          </w:p>
        </w:tc>
        <w:tc>
          <w:tcPr>
            <w:tcW w:w="3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45,835,000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46,364,000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12,371,000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Deferred finance costs, net</w:t>
            </w:r>
          </w:p>
        </w:tc>
        <w:tc>
          <w:tcPr>
            <w:tcW w:w="3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349,000</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FFCC"/>
            </w:tcBorders>
            <w:gridSpan w:val="3"/>
          </w:tcPr>
          <w:p>
            <w:pPr>
              <w:ind w:left="300"/>
              <w:spacing w:after="0"/>
              <w:rPr>
                <w:sz w:val="20"/>
                <w:szCs w:val="20"/>
                <w:color w:val="auto"/>
              </w:rPr>
            </w:pPr>
            <w:r>
              <w:rPr>
                <w:rFonts w:ascii="Arial" w:cs="Arial" w:eastAsia="Arial" w:hAnsi="Arial"/>
                <w:sz w:val="18"/>
                <w:szCs w:val="18"/>
                <w:color w:val="auto"/>
              </w:rPr>
              <w:t>Total other assets</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59,005,000</w:t>
            </w:r>
          </w:p>
        </w:tc>
        <w:tc>
          <w:tcPr>
            <w:tcW w:w="3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59,335,000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67,804,000</w:t>
            </w:r>
          </w:p>
        </w:tc>
        <w:tc>
          <w:tcPr>
            <w:tcW w:w="32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66,228,000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534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1,421,000</w:t>
            </w: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Deferred revenue, net of long-term portion</w:t>
            </w:r>
          </w:p>
        </w:tc>
        <w:tc>
          <w:tcPr>
            <w:tcW w:w="3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221,000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144,000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Current portion of installment debt obligation</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Current portion of term loan</w:t>
            </w:r>
          </w:p>
        </w:tc>
        <w:tc>
          <w:tcPr>
            <w:tcW w:w="36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1,350,000</w:t>
            </w:r>
          </w:p>
        </w:tc>
        <w:tc>
          <w:tcPr>
            <w:tcW w:w="3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FFCC"/>
            </w:tcBorders>
            <w:gridSpan w:val="3"/>
          </w:tcPr>
          <w:p>
            <w:pPr>
              <w:ind w:left="3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3,136,000</w:t>
            </w:r>
          </w:p>
        </w:tc>
        <w:tc>
          <w:tcPr>
            <w:tcW w:w="3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Long Term Liabilities:</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Term loan, net of short-term portion</w:t>
            </w:r>
          </w:p>
        </w:tc>
        <w:tc>
          <w:tcPr>
            <w:tcW w:w="3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11,229,000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Seller note</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6,306,000</w:t>
            </w: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Installment debt obligation, net of short-term portion</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Contingent obligations - seller</w:t>
            </w:r>
          </w:p>
        </w:tc>
        <w:tc>
          <w:tcPr>
            <w:tcW w:w="3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11,466,000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10,177,000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Deferred revenue, net of short-term portion</w:t>
            </w:r>
          </w:p>
        </w:tc>
        <w:tc>
          <w:tcPr>
            <w:tcW w:w="3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480,000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Other long-term liabilities, less current portion</w:t>
            </w:r>
          </w:p>
        </w:tc>
        <w:tc>
          <w:tcPr>
            <w:tcW w:w="3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45,000</w:t>
            </w:r>
          </w:p>
        </w:tc>
        <w:tc>
          <w:tcPr>
            <w:tcW w:w="3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FFCC"/>
            </w:tcBorders>
            <w:gridSpan w:val="3"/>
            <w:shd w:val="clear" w:color="auto" w:fill="CCFFCC"/>
          </w:tcPr>
          <w:p>
            <w:pPr>
              <w:ind w:left="300"/>
              <w:spacing w:after="0"/>
              <w:rPr>
                <w:sz w:val="20"/>
                <w:szCs w:val="20"/>
                <w:color w:val="auto"/>
              </w:rPr>
            </w:pPr>
            <w:r>
              <w:rPr>
                <w:rFonts w:ascii="Arial" w:cs="Arial" w:eastAsia="Arial" w:hAnsi="Arial"/>
                <w:sz w:val="18"/>
                <w:szCs w:val="18"/>
                <w:color w:val="auto"/>
              </w:rPr>
              <w:t>Total long term liabilities</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39,703,000</w:t>
            </w:r>
          </w:p>
        </w:tc>
        <w:tc>
          <w:tcPr>
            <w:tcW w:w="3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48,119,000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42,839,000</w:t>
            </w:r>
          </w:p>
        </w:tc>
        <w:tc>
          <w:tcPr>
            <w:tcW w:w="32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8"/>
              </w:rPr>
              <w:t>Common stock, $.001 par value, 25,000,000 shares authorized, 7,339,979 and 5,810,444 issued and</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outstanding at December 31, 2012 and December 31, 2011, respectively</w:t>
            </w:r>
          </w:p>
        </w:tc>
        <w:tc>
          <w:tcPr>
            <w:tcW w:w="3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Paid-in capital</w:t>
            </w:r>
          </w:p>
        </w:tc>
        <w:tc>
          <w:tcPr>
            <w:tcW w:w="3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21,966,000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17,904,000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rPr>
              <w:t>Retained earnings (deficit)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2,992,000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FFCC"/>
            </w:tcBorders>
            <w:gridSpan w:val="3"/>
            <w:shd w:val="clear" w:color="auto" w:fill="CCFFCC"/>
          </w:tcPr>
          <w:p>
            <w:pPr>
              <w:ind w:left="3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24,965,000</w:t>
            </w:r>
          </w:p>
        </w:tc>
        <w:tc>
          <w:tcPr>
            <w:tcW w:w="3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16,618,000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67,804,000</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66,228,000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FFCC"/>
            </w:tcBorders>
          </w:tcPr>
          <w:p>
            <w:pPr>
              <w:spacing w:after="0" w:line="20" w:lineRule="exact"/>
              <w:rPr>
                <w:sz w:val="1"/>
                <w:szCs w:val="1"/>
                <w:color w:val="auto"/>
              </w:rPr>
            </w:pPr>
          </w:p>
        </w:tc>
        <w:tc>
          <w:tcPr>
            <w:tcW w:w="2300" w:type="dxa"/>
            <w:vAlign w:val="bottom"/>
            <w:tcBorders>
              <w:top w:val="single" w:sz="8" w:color="CCFFCC"/>
            </w:tcBorders>
          </w:tcPr>
          <w:p>
            <w:pPr>
              <w:spacing w:after="0" w:line="20" w:lineRule="exact"/>
              <w:rPr>
                <w:sz w:val="1"/>
                <w:szCs w:val="1"/>
                <w:color w:val="auto"/>
              </w:rPr>
            </w:pPr>
          </w:p>
        </w:tc>
        <w:tc>
          <w:tcPr>
            <w:tcW w:w="5340" w:type="dxa"/>
            <w:vAlign w:val="bottom"/>
            <w:tcBorders>
              <w:top w:val="single" w:sz="8" w:color="CCFFCC"/>
              <w:bottom w:val="single" w:sz="8" w:color="CCFFCC"/>
            </w:tcBorders>
            <w:vMerge w:val="restart"/>
          </w:tcPr>
          <w:p>
            <w:pPr>
              <w:ind w:left="1180"/>
              <w:spacing w:after="0"/>
              <w:rPr>
                <w:sz w:val="20"/>
                <w:szCs w:val="20"/>
                <w:color w:val="auto"/>
              </w:rPr>
            </w:pPr>
            <w:r>
              <w:rPr>
                <w:rFonts w:ascii="Arial" w:cs="Arial" w:eastAsia="Arial" w:hAnsi="Arial"/>
                <w:sz w:val="18"/>
                <w:szCs w:val="18"/>
                <w:color w:val="auto"/>
              </w:rPr>
              <w:t>See Notes to Consolidated Financial Statements.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00" w:type="dxa"/>
            <w:vAlign w:val="bottom"/>
            <w:tcBorders>
              <w:bottom w:val="single" w:sz="8" w:color="auto"/>
            </w:tcBorders>
            <w:gridSpan w:val="3"/>
          </w:tcPr>
          <w:p>
            <w:pPr>
              <w:ind w:left="5600"/>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period Sept.</w:t>
            </w: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period Jan.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100" w:type="dxa"/>
            <w:vAlign w:val="bottom"/>
            <w:gridSpan w:val="4"/>
          </w:tcPr>
          <w:p>
            <w:pPr>
              <w:ind w:left="140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29, 2011 to</w:t>
            </w:r>
          </w:p>
        </w:tc>
        <w:tc>
          <w:tcPr>
            <w:tcW w:w="14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1, 2011 to Sept.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2012</w:t>
            </w:r>
          </w:p>
        </w:tc>
        <w:tc>
          <w:tcPr>
            <w:tcW w:w="140" w:type="dxa"/>
            <w:vAlign w:val="bottom"/>
          </w:tcPr>
          <w:p>
            <w:pPr>
              <w:spacing w:after="0"/>
              <w:rPr>
                <w:sz w:val="19"/>
                <w:szCs w:val="19"/>
                <w:color w:val="auto"/>
              </w:rPr>
            </w:pPr>
          </w:p>
        </w:tc>
        <w:tc>
          <w:tcPr>
            <w:tcW w:w="17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Successor</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Licensing revenue</w:t>
            </w:r>
          </w:p>
        </w:tc>
        <w:tc>
          <w:tcPr>
            <w:tcW w:w="1640" w:type="dxa"/>
            <w:vAlign w:val="bottom"/>
            <w:gridSpan w:val="2"/>
            <w:shd w:val="clear" w:color="auto" w:fill="CCFFCC"/>
          </w:tcPr>
          <w:p>
            <w:pPr>
              <w:ind w:left="1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10,872,000</w:t>
            </w:r>
          </w:p>
        </w:tc>
        <w:tc>
          <w:tcPr>
            <w:tcW w:w="3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2,616,000</w:t>
            </w:r>
          </w:p>
        </w:tc>
        <w:tc>
          <w:tcPr>
            <w:tcW w:w="3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7,911,000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Design and service fee income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2,271,000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282,000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4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13,143,000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2,898,000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Direct licensing costs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252,000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licensing, design and service fee revenue</w:t>
            </w:r>
          </w:p>
        </w:tc>
        <w:tc>
          <w:tcPr>
            <w:tcW w:w="14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12,703,000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2,646,000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Design and marketing costs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5,424,000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1,027,000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7,452,000</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1,423,000</w:t>
            </w: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856,000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211,000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13,732,000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2,661,000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4,381,000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Other expenses (income)</w:t>
            </w:r>
          </w:p>
        </w:tc>
        <w:tc>
          <w:tcPr>
            <w:tcW w:w="1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Acquisition and due diligence costs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498,000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Gain on extinguishment of debt</w:t>
            </w:r>
          </w:p>
        </w:tc>
        <w:tc>
          <w:tcPr>
            <w:tcW w:w="1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(422,000)</w:t>
            </w: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Gain on reduction of contingent obligations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other expenses (income)</w:t>
            </w:r>
          </w:p>
        </w:tc>
        <w:tc>
          <w:tcPr>
            <w:tcW w:w="14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(6,722,000</w:t>
            </w:r>
          </w:p>
        </w:tc>
        <w:tc>
          <w:tcPr>
            <w:tcW w:w="180" w:type="dxa"/>
            <w:vAlign w:val="bottom"/>
            <w:tcBorders>
              <w:top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498,000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(loss)</w:t>
            </w:r>
          </w:p>
        </w:tc>
        <w:tc>
          <w:tcPr>
            <w:tcW w:w="14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5,693,000</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(513,000)</w:t>
            </w:r>
          </w:p>
        </w:tc>
        <w:tc>
          <w:tcPr>
            <w:tcW w:w="1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4,348,000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Interest and finance expense</w:t>
            </w:r>
          </w:p>
        </w:tc>
        <w:tc>
          <w:tcPr>
            <w:tcW w:w="1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Interest expense - term loan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296,000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interest and finance charges</w:t>
            </w:r>
          </w:p>
        </w:tc>
        <w:tc>
          <w:tcPr>
            <w:tcW w:w="14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1,027,000</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Total interest and finance expense</w:t>
            </w:r>
          </w:p>
        </w:tc>
        <w:tc>
          <w:tcPr>
            <w:tcW w:w="140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2,175,000</w:t>
            </w:r>
          </w:p>
        </w:tc>
        <w:tc>
          <w:tcPr>
            <w:tcW w:w="18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546,000</w:t>
            </w:r>
          </w:p>
        </w:tc>
        <w:tc>
          <w:tcPr>
            <w:tcW w:w="18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(1,059,000)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4,348,000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(766,000)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(190,000)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4,284,000</w:t>
            </w:r>
          </w:p>
        </w:tc>
        <w:tc>
          <w:tcPr>
            <w:tcW w:w="18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(869,000)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4,173,000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FFCC"/>
            </w:tcBorders>
            <w:shd w:val="clear" w:color="auto" w:fill="CCFFCC"/>
          </w:tcPr>
          <w:p>
            <w:pPr>
              <w:spacing w:after="0"/>
              <w:rPr>
                <w:sz w:val="17"/>
                <w:szCs w:val="17"/>
                <w:color w:val="auto"/>
              </w:rPr>
            </w:pPr>
          </w:p>
        </w:tc>
        <w:tc>
          <w:tcPr>
            <w:tcW w:w="140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3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Income (Loss) per share: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FFCC"/>
          </w:tcPr>
          <w:p>
            <w:pPr>
              <w:ind w:left="1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0.62</w:t>
            </w:r>
          </w:p>
        </w:tc>
        <w:tc>
          <w:tcPr>
            <w:tcW w:w="3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Diluted</w:t>
            </w:r>
          </w:p>
        </w:tc>
        <w:tc>
          <w:tcPr>
            <w:tcW w:w="1400" w:type="dxa"/>
            <w:vAlign w:val="bottom"/>
            <w:tcBorders>
              <w:top w:val="single" w:sz="8" w:color="CCFFCC"/>
              <w:bottom w:val="single" w:sz="8" w:color="CCFFCC"/>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bottom w:val="single" w:sz="8" w:color="CCFFCC"/>
            </w:tcBorders>
            <w:vMerge w:val="restart"/>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bottom w:val="single" w:sz="8" w:color="CCFFCC"/>
            </w:tcBorders>
            <w:vMerge w:val="restart"/>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3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FFCC"/>
            </w:tcBorders>
            <w:vMerge w:val="continue"/>
          </w:tcPr>
          <w:p>
            <w:pPr>
              <w:spacing w:after="0"/>
              <w:rPr>
                <w:sz w:val="20"/>
                <w:szCs w:val="20"/>
                <w:color w:val="auto"/>
              </w:rPr>
            </w:pPr>
          </w:p>
        </w:tc>
        <w:tc>
          <w:tcPr>
            <w:tcW w:w="1400" w:type="dxa"/>
            <w:vAlign w:val="bottom"/>
            <w:tcBorders>
              <w:bottom w:val="single" w:sz="8" w:color="CCFFCC"/>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180" w:type="dxa"/>
            <w:vAlign w:val="bottom"/>
            <w:tcBorders>
              <w:bottom w:val="single" w:sz="8" w:color="CCFFCC"/>
            </w:tcBorders>
            <w:vMerge w:val="continue"/>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180" w:type="dxa"/>
            <w:vAlign w:val="bottom"/>
            <w:tcBorders>
              <w:bottom w:val="single" w:sz="8" w:color="CCFFCC"/>
            </w:tcBorders>
            <w:vMerge w:val="continue"/>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c>
          <w:tcPr>
            <w:tcW w:w="13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-5770880</wp:posOffset>
            </wp:positionV>
            <wp:extent cx="17145" cy="6234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62344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Weighted average number of common shares outstanding: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6,936,452</w:t>
            </w:r>
          </w:p>
        </w:tc>
        <w:tc>
          <w:tcPr>
            <w:tcW w:w="320" w:type="dxa"/>
            <w:vAlign w:val="bottom"/>
            <w:shd w:val="clear" w:color="auto" w:fill="CCFFCC"/>
          </w:tcPr>
          <w:p>
            <w:pPr>
              <w:spacing w:after="0"/>
              <w:rPr>
                <w:sz w:val="19"/>
                <w:szCs w:val="19"/>
                <w:color w:val="auto"/>
              </w:rPr>
            </w:pPr>
          </w:p>
        </w:tc>
        <w:tc>
          <w:tcPr>
            <w:tcW w:w="3480" w:type="dxa"/>
            <w:vAlign w:val="bottom"/>
            <w:gridSpan w:val="2"/>
            <w:shd w:val="clear" w:color="auto" w:fill="CCFFCC"/>
          </w:tcPr>
          <w:p>
            <w:pPr>
              <w:jc w:val="right"/>
              <w:ind w:right="1900"/>
              <w:spacing w:after="0"/>
              <w:rPr>
                <w:sz w:val="20"/>
                <w:szCs w:val="20"/>
                <w:color w:val="auto"/>
              </w:rPr>
            </w:pPr>
            <w:r>
              <w:rPr>
                <w:rFonts w:ascii="Arial" w:cs="Arial" w:eastAsia="Arial" w:hAnsi="Arial"/>
                <w:sz w:val="18"/>
                <w:szCs w:val="18"/>
                <w:color w:val="auto"/>
              </w:rPr>
              <w:t>5,770,266</w:t>
            </w:r>
          </w:p>
        </w:tc>
        <w:tc>
          <w:tcPr>
            <w:tcW w:w="0" w:type="dxa"/>
            <w:vAlign w:val="bottom"/>
          </w:tcPr>
          <w:p>
            <w:pPr>
              <w:spacing w:after="0"/>
              <w:rPr>
                <w:sz w:val="1"/>
                <w:szCs w:val="1"/>
                <w:color w:val="auto"/>
              </w:rPr>
            </w:pPr>
          </w:p>
        </w:tc>
      </w:tr>
      <w:tr>
        <w:trPr>
          <w:trHeight w:val="20"/>
        </w:trPr>
        <w:tc>
          <w:tcPr>
            <w:tcW w:w="610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Diluted</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CCFFCC"/>
              <w:bottom w:val="single" w:sz="8" w:color="CCFF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7,577,561</w:t>
            </w:r>
          </w:p>
        </w:tc>
        <w:tc>
          <w:tcPr>
            <w:tcW w:w="32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4"/>
              </w:rPr>
              <w:t>Xcel Brands, Inc. and Subsidiaries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440" w:type="dxa"/>
            <w:vAlign w:val="bottom"/>
            <w:gridSpan w:val="9"/>
          </w:tcPr>
          <w:p>
            <w:pPr>
              <w:ind w:left="3900"/>
              <w:spacing w:after="0"/>
              <w:rPr>
                <w:sz w:val="20"/>
                <w:szCs w:val="20"/>
                <w:color w:val="auto"/>
              </w:rPr>
            </w:pPr>
            <w:r>
              <w:rPr>
                <w:rFonts w:ascii="Arial" w:cs="Arial" w:eastAsia="Arial" w:hAnsi="Arial"/>
                <w:sz w:val="18"/>
                <w:szCs w:val="18"/>
                <w:b w:val="1"/>
                <w:bCs w:val="1"/>
                <w:color w:val="auto"/>
              </w:rPr>
              <w:t>Consolidated Statement of Stockholders' Equity</w:t>
            </w:r>
          </w:p>
        </w:tc>
      </w:tr>
      <w:tr>
        <w:trPr>
          <w:trHeight w:val="623"/>
        </w:trPr>
        <w:tc>
          <w:tcPr>
            <w:tcW w:w="42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 - in</w:t>
            </w:r>
          </w:p>
        </w:tc>
      </w:tr>
      <w:tr>
        <w:trPr>
          <w:trHeight w:val="201"/>
        </w:trPr>
        <w:tc>
          <w:tcPr>
            <w:tcW w:w="4240" w:type="dxa"/>
            <w:vAlign w:val="bottom"/>
          </w:tcPr>
          <w:p>
            <w:pPr>
              <w:spacing w:after="0"/>
              <w:rPr>
                <w:sz w:val="17"/>
                <w:szCs w:val="17"/>
                <w:color w:val="auto"/>
              </w:rPr>
            </w:pPr>
          </w:p>
        </w:tc>
        <w:tc>
          <w:tcPr>
            <w:tcW w:w="116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Share</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7"/>
                <w:szCs w:val="17"/>
                <w:color w:val="auto"/>
              </w:rPr>
            </w:pPr>
          </w:p>
        </w:tc>
      </w:tr>
      <w:tr>
        <w:trPr>
          <w:trHeight w:val="306"/>
        </w:trPr>
        <w:tc>
          <w:tcPr>
            <w:tcW w:w="4240" w:type="dxa"/>
            <w:vAlign w:val="bottom"/>
          </w:tcPr>
          <w:p>
            <w:pPr>
              <w:spacing w:after="0"/>
              <w:rPr>
                <w:sz w:val="20"/>
                <w:szCs w:val="20"/>
                <w:color w:val="auto"/>
              </w:rPr>
            </w:pPr>
            <w:r>
              <w:rPr>
                <w:rFonts w:ascii="Arial" w:cs="Arial" w:eastAsia="Arial" w:hAnsi="Arial"/>
                <w:sz w:val="14"/>
                <w:szCs w:val="14"/>
                <w:color w:val="auto"/>
              </w:rPr>
              <w:t>Balances, September 29, 2011</w:t>
            </w:r>
          </w:p>
        </w:tc>
        <w:tc>
          <w:tcPr>
            <w:tcW w:w="1500" w:type="dxa"/>
            <w:vAlign w:val="bottom"/>
            <w:gridSpan w:val="2"/>
          </w:tcPr>
          <w:p>
            <w:pPr>
              <w:jc w:val="right"/>
              <w:ind w:right="340"/>
              <w:spacing w:after="0"/>
              <w:rPr>
                <w:sz w:val="20"/>
                <w:szCs w:val="20"/>
                <w:color w:val="auto"/>
              </w:rPr>
            </w:pPr>
            <w:r>
              <w:rPr>
                <w:rFonts w:ascii="Arial" w:cs="Arial" w:eastAsia="Arial" w:hAnsi="Arial"/>
                <w:sz w:val="14"/>
                <w:szCs w:val="14"/>
                <w:color w:val="auto"/>
              </w:rPr>
              <w:t>944,688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1,000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r>
      <w:tr>
        <w:trPr>
          <w:trHeight w:val="263"/>
        </w:trPr>
        <w:tc>
          <w:tcPr>
            <w:tcW w:w="4240" w:type="dxa"/>
            <w:vAlign w:val="bottom"/>
          </w:tcPr>
          <w:p>
            <w:pPr>
              <w:ind w:left="160"/>
              <w:spacing w:after="0"/>
              <w:rPr>
                <w:sz w:val="20"/>
                <w:szCs w:val="20"/>
                <w:color w:val="auto"/>
              </w:rPr>
            </w:pPr>
            <w:r>
              <w:rPr>
                <w:rFonts w:ascii="Arial" w:cs="Arial" w:eastAsia="Arial" w:hAnsi="Arial"/>
                <w:sz w:val="14"/>
                <w:szCs w:val="14"/>
                <w:color w:val="auto"/>
                <w:w w:val="98"/>
              </w:rPr>
              <w:t>Shares of common stock and 1,064 warrants issued on September</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29, 2011 in connection with recapitalization transaction</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186,811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issued to former Chairman in connection with</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recapitalization transaction</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47,132</w:t>
            </w: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w w:val="98"/>
              </w:rPr>
              <w:t>Shares of common stock and 430,500 warrants issued in a private</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placement on September 29, 2011</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861,000</w:t>
            </w:r>
          </w:p>
        </w:tc>
        <w:tc>
          <w:tcPr>
            <w:tcW w:w="32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4,304,000</w:t>
            </w: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of common stock issued on September 29, 2011 in</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connection with purchase of IM Licensing Business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2,759,000</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3,000</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9,212,000</w:t>
            </w: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of common stock issued on September 29, 2011 for</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acquisition of Earthbound contract</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944,688</w:t>
            </w:r>
          </w:p>
        </w:tc>
        <w:tc>
          <w:tcPr>
            <w:tcW w:w="32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3,154,000</w:t>
            </w: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Warrants issued in connection with Term Loan</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1,214,000</w:t>
            </w: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issued to employees in connection with restricted stock</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grants</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17,125</w:t>
            </w: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Compensation expense in connection with stock options and</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warrants to directors and management</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367,000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w w:val="99"/>
              </w:rPr>
              <w:t>Direct costs relating to equity placement, including 9,800 warrants</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issued to placement agent</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(438,000)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issued on exercise of warrants on December 20, 2011</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50,000</w:t>
            </w: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w:t>
            </w:r>
          </w:p>
        </w:tc>
      </w:tr>
      <w:tr>
        <w:trPr>
          <w:trHeight w:val="181"/>
        </w:trPr>
        <w:tc>
          <w:tcPr>
            <w:tcW w:w="4240" w:type="dxa"/>
            <w:vAlign w:val="bottom"/>
          </w:tcPr>
          <w:p>
            <w:pPr>
              <w:ind w:left="160"/>
              <w:spacing w:after="0"/>
              <w:rPr>
                <w:sz w:val="20"/>
                <w:szCs w:val="20"/>
                <w:color w:val="auto"/>
              </w:rPr>
            </w:pPr>
            <w:r>
              <w:rPr>
                <w:rFonts w:ascii="Arial" w:cs="Arial" w:eastAsia="Arial" w:hAnsi="Arial"/>
                <w:sz w:val="14"/>
                <w:szCs w:val="14"/>
                <w:color w:val="auto"/>
              </w:rPr>
              <w:t>Net loss for the period ended December 31, 2011</w:t>
            </w:r>
          </w:p>
        </w:tc>
        <w:tc>
          <w:tcPr>
            <w:tcW w:w="11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306"/>
        </w:trPr>
        <w:tc>
          <w:tcPr>
            <w:tcW w:w="4240" w:type="dxa"/>
            <w:vAlign w:val="bottom"/>
          </w:tcPr>
          <w:p>
            <w:pPr>
              <w:spacing w:after="0"/>
              <w:rPr>
                <w:sz w:val="20"/>
                <w:szCs w:val="20"/>
                <w:color w:val="auto"/>
              </w:rPr>
            </w:pPr>
            <w:r>
              <w:rPr>
                <w:rFonts w:ascii="Arial" w:cs="Arial" w:eastAsia="Arial" w:hAnsi="Arial"/>
                <w:sz w:val="14"/>
                <w:szCs w:val="14"/>
                <w:color w:val="auto"/>
              </w:rPr>
              <w:t>Balances, December 31, 2011</w:t>
            </w:r>
          </w:p>
        </w:tc>
        <w:tc>
          <w:tcPr>
            <w:tcW w:w="1160" w:type="dxa"/>
            <w:vAlign w:val="bottom"/>
          </w:tcPr>
          <w:p>
            <w:pPr>
              <w:jc w:val="right"/>
              <w:spacing w:after="0"/>
              <w:rPr>
                <w:sz w:val="20"/>
                <w:szCs w:val="20"/>
                <w:color w:val="auto"/>
              </w:rPr>
            </w:pPr>
            <w:r>
              <w:rPr>
                <w:rFonts w:ascii="Arial" w:cs="Arial" w:eastAsia="Arial" w:hAnsi="Arial"/>
                <w:sz w:val="14"/>
                <w:szCs w:val="14"/>
                <w:color w:val="auto"/>
              </w:rPr>
              <w:t>5,810,444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17,904,000</w:t>
            </w:r>
          </w:p>
        </w:tc>
        <w:tc>
          <w:tcPr>
            <w:tcW w:w="40" w:type="dxa"/>
            <w:vAlign w:val="bottom"/>
          </w:tcPr>
          <w:p>
            <w:pPr>
              <w:spacing w:after="0"/>
              <w:rPr>
                <w:sz w:val="24"/>
                <w:szCs w:val="24"/>
                <w:color w:val="auto"/>
              </w:rPr>
            </w:pPr>
          </w:p>
        </w:tc>
      </w:tr>
      <w:tr>
        <w:trPr>
          <w:trHeight w:val="263"/>
        </w:trPr>
        <w:tc>
          <w:tcPr>
            <w:tcW w:w="4240" w:type="dxa"/>
            <w:vAlign w:val="bottom"/>
          </w:tcPr>
          <w:p>
            <w:pPr>
              <w:ind w:left="160"/>
              <w:spacing w:after="0"/>
              <w:rPr>
                <w:sz w:val="20"/>
                <w:szCs w:val="20"/>
                <w:color w:val="auto"/>
              </w:rPr>
            </w:pPr>
            <w:r>
              <w:rPr>
                <w:rFonts w:ascii="Arial" w:cs="Arial" w:eastAsia="Arial" w:hAnsi="Arial"/>
                <w:sz w:val="14"/>
                <w:szCs w:val="14"/>
                <w:color w:val="auto"/>
              </w:rPr>
              <w:t>Warrants issued in connection with licensing agreement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23,000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Direct costs relating to equity placement</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Compensation expense in connection with stock options and</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warrants to directors and management, net of forfeitures</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issued to employees and directors in connection with</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restricted stock grants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1,544,943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4,634,000</w:t>
            </w:r>
          </w:p>
        </w:tc>
        <w:tc>
          <w:tcPr>
            <w:tcW w:w="40" w:type="dxa"/>
            <w:vAlign w:val="bottom"/>
          </w:tcPr>
          <w:p>
            <w:pPr>
              <w:spacing w:after="0"/>
              <w:rPr>
                <w:sz w:val="12"/>
                <w:szCs w:val="12"/>
                <w:color w:val="auto"/>
              </w:rPr>
            </w:pP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Unamortized restricted stock portion</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issued on exercise of warrants</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162,500</w:t>
            </w: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Forfeiture of prior stock grants</w:t>
            </w: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(875)</w:t>
            </w: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issued in connection with settlement of debt</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60,000</w:t>
            </w: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180,000</w:t>
            </w:r>
          </w:p>
        </w:tc>
      </w:tr>
      <w:tr>
        <w:trPr>
          <w:trHeight w:val="149"/>
        </w:trPr>
        <w:tc>
          <w:tcPr>
            <w:tcW w:w="4240" w:type="dxa"/>
            <w:vAlign w:val="bottom"/>
          </w:tcPr>
          <w:p>
            <w:pPr>
              <w:ind w:left="160"/>
              <w:spacing w:after="0" w:line="149" w:lineRule="exact"/>
              <w:rPr>
                <w:sz w:val="20"/>
                <w:szCs w:val="20"/>
                <w:color w:val="auto"/>
              </w:rPr>
            </w:pPr>
            <w:r>
              <w:rPr>
                <w:rFonts w:ascii="Arial" w:cs="Arial" w:eastAsia="Arial" w:hAnsi="Arial"/>
                <w:sz w:val="14"/>
                <w:szCs w:val="14"/>
                <w:color w:val="auto"/>
              </w:rPr>
              <w:t>Shares repurchased on vesting of restricted stock</w:t>
            </w: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(237,033)</w:t>
            </w: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(711,000)</w:t>
            </w:r>
          </w:p>
        </w:tc>
      </w:tr>
      <w:tr>
        <w:trPr>
          <w:trHeight w:val="181"/>
        </w:trPr>
        <w:tc>
          <w:tcPr>
            <w:tcW w:w="4240" w:type="dxa"/>
            <w:vAlign w:val="bottom"/>
          </w:tcPr>
          <w:p>
            <w:pPr>
              <w:ind w:left="160"/>
              <w:spacing w:after="0"/>
              <w:rPr>
                <w:sz w:val="20"/>
                <w:szCs w:val="20"/>
                <w:color w:val="auto"/>
              </w:rPr>
            </w:pPr>
            <w:r>
              <w:rPr>
                <w:rFonts w:ascii="Arial" w:cs="Arial" w:eastAsia="Arial" w:hAnsi="Arial"/>
                <w:sz w:val="14"/>
                <w:szCs w:val="14"/>
                <w:color w:val="auto"/>
              </w:rPr>
              <w:t>Net income for the year ended December 31, 2012</w:t>
            </w:r>
          </w:p>
        </w:tc>
        <w:tc>
          <w:tcPr>
            <w:tcW w:w="11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318"/>
        </w:trPr>
        <w:tc>
          <w:tcPr>
            <w:tcW w:w="4240" w:type="dxa"/>
            <w:vAlign w:val="bottom"/>
          </w:tcPr>
          <w:p>
            <w:pPr>
              <w:spacing w:after="0"/>
              <w:rPr>
                <w:sz w:val="20"/>
                <w:szCs w:val="20"/>
                <w:color w:val="auto"/>
              </w:rPr>
            </w:pPr>
            <w:r>
              <w:rPr>
                <w:rFonts w:ascii="Arial" w:cs="Arial" w:eastAsia="Arial" w:hAnsi="Arial"/>
                <w:sz w:val="14"/>
                <w:szCs w:val="14"/>
                <w:color w:val="auto"/>
              </w:rPr>
              <w:t>Balances, December 31, 2012</w:t>
            </w:r>
          </w:p>
        </w:tc>
        <w:tc>
          <w:tcPr>
            <w:tcW w:w="1160" w:type="dxa"/>
            <w:vAlign w:val="bottom"/>
          </w:tcPr>
          <w:p>
            <w:pPr>
              <w:jc w:val="right"/>
              <w:spacing w:after="0"/>
              <w:rPr>
                <w:sz w:val="20"/>
                <w:szCs w:val="20"/>
                <w:color w:val="auto"/>
              </w:rPr>
            </w:pPr>
            <w:r>
              <w:rPr>
                <w:rFonts w:ascii="Arial" w:cs="Arial" w:eastAsia="Arial" w:hAnsi="Arial"/>
                <w:sz w:val="14"/>
                <w:szCs w:val="14"/>
                <w:color w:val="auto"/>
              </w:rPr>
              <w:t>7,339,979</w:t>
            </w:r>
          </w:p>
        </w:tc>
        <w:tc>
          <w:tcPr>
            <w:tcW w:w="34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7,000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21,966,000</w:t>
            </w:r>
          </w:p>
        </w:tc>
        <w:tc>
          <w:tcPr>
            <w:tcW w:w="40" w:type="dxa"/>
            <w:vAlign w:val="bottom"/>
          </w:tcPr>
          <w:p>
            <w:pPr>
              <w:spacing w:after="0"/>
              <w:rPr>
                <w:sz w:val="24"/>
                <w:szCs w:val="24"/>
                <w:color w:val="auto"/>
              </w:rPr>
            </w:pPr>
          </w:p>
        </w:tc>
      </w:tr>
      <w:tr>
        <w:trPr>
          <w:trHeight w:val="20"/>
        </w:trPr>
        <w:tc>
          <w:tcPr>
            <w:tcW w:w="4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-3661410</wp:posOffset>
            </wp:positionV>
            <wp:extent cx="724662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-3472815</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-3094990</wp:posOffset>
            </wp:positionV>
            <wp:extent cx="72466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-2717800</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-2434590</wp:posOffset>
            </wp:positionV>
            <wp:extent cx="72466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-1568450</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-1379855</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2466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00"/>
        <w:spacing w:after="0"/>
        <w:rPr>
          <w:sz w:val="20"/>
          <w:szCs w:val="20"/>
          <w:color w:val="auto"/>
        </w:rPr>
      </w:pPr>
      <w:r>
        <w:rPr>
          <w:rFonts w:ascii="Arial" w:cs="Arial" w:eastAsia="Arial" w:hAnsi="Arial"/>
          <w:sz w:val="12"/>
          <w:szCs w:val="12"/>
          <w:b w:val="1"/>
          <w:bCs w:val="1"/>
          <w:color w:val="auto"/>
        </w:rPr>
        <w:t>Retained Earnings</w:t>
      </w:r>
    </w:p>
    <w:p>
      <w:pPr>
        <w:spacing w:after="0" w:line="42"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Accumulated</w:t>
      </w:r>
    </w:p>
    <w:tbl>
      <w:tblPr>
        <w:tblLayout w:type="fixed"/>
        <w:tblInd w:w="0" w:type="dxa"/>
        <w:tblCellMar>
          <w:top w:w="0" w:type="dxa"/>
          <w:left w:w="0" w:type="dxa"/>
          <w:bottom w:w="0" w:type="dxa"/>
          <w:right w:w="0" w:type="dxa"/>
        </w:tblCellMar>
      </w:tblPr>
      <w:tr>
        <w:trPr>
          <w:trHeight w:val="216"/>
        </w:trPr>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Deficit</w:t>
            </w: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40" w:type="dxa"/>
            <w:vAlign w:val="bottom"/>
            <w:gridSpan w:val="2"/>
          </w:tcPr>
          <w:p>
            <w:pPr>
              <w:spacing w:after="0"/>
              <w:rPr>
                <w:sz w:val="18"/>
                <w:szCs w:val="18"/>
                <w:color w:val="auto"/>
              </w:rPr>
            </w:pPr>
          </w:p>
        </w:tc>
      </w:tr>
      <w:tr>
        <w:trPr>
          <w:trHeight w:val="306"/>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(423,000)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(422,000)</w:t>
            </w:r>
          </w:p>
        </w:tc>
      </w:tr>
      <w:tr>
        <w:trPr>
          <w:trHeight w:val="446"/>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(125,000)</w:t>
            </w:r>
          </w:p>
        </w:tc>
      </w:tr>
      <w:tr>
        <w:trPr>
          <w:trHeight w:val="297"/>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158,000</w:t>
            </w:r>
          </w:p>
        </w:tc>
        <w:tc>
          <w:tcPr>
            <w:tcW w:w="2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4,305,000</w:t>
            </w:r>
          </w:p>
        </w:tc>
        <w:tc>
          <w:tcPr>
            <w:tcW w:w="2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9,215,000</w:t>
            </w:r>
          </w:p>
        </w:tc>
        <w:tc>
          <w:tcPr>
            <w:tcW w:w="2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3,155,000</w:t>
            </w:r>
          </w:p>
        </w:tc>
        <w:tc>
          <w:tcPr>
            <w:tcW w:w="20" w:type="dxa"/>
            <w:vAlign w:val="bottom"/>
          </w:tcPr>
          <w:p>
            <w:pPr>
              <w:spacing w:after="0"/>
              <w:rPr>
                <w:sz w:val="22"/>
                <w:szCs w:val="22"/>
                <w:color w:val="auto"/>
              </w:rPr>
            </w:pPr>
          </w:p>
        </w:tc>
      </w:tr>
      <w:tr>
        <w:trPr>
          <w:trHeight w:val="182"/>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1,214,000</w:t>
            </w:r>
          </w:p>
        </w:tc>
        <w:tc>
          <w:tcPr>
            <w:tcW w:w="20" w:type="dxa"/>
            <w:vAlign w:val="bottom"/>
          </w:tcPr>
          <w:p>
            <w:pPr>
              <w:spacing w:after="0"/>
              <w:rPr>
                <w:sz w:val="15"/>
                <w:szCs w:val="15"/>
                <w:color w:val="auto"/>
              </w:rPr>
            </w:pPr>
          </w:p>
        </w:tc>
      </w:tr>
      <w:tr>
        <w:trPr>
          <w:trHeight w:val="297"/>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57,000</w:t>
            </w:r>
          </w:p>
        </w:tc>
        <w:tc>
          <w:tcPr>
            <w:tcW w:w="2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367,000</w:t>
            </w:r>
          </w:p>
        </w:tc>
        <w:tc>
          <w:tcPr>
            <w:tcW w:w="2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(438,000)</w:t>
            </w:r>
          </w:p>
        </w:tc>
      </w:tr>
      <w:tr>
        <w:trPr>
          <w:trHeight w:val="149"/>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2"/>
                <w:szCs w:val="12"/>
                <w:color w:val="auto"/>
              </w:rPr>
            </w:pPr>
          </w:p>
        </w:tc>
      </w:tr>
      <w:tr>
        <w:trPr>
          <w:trHeight w:val="181"/>
        </w:trPr>
        <w:tc>
          <w:tcPr>
            <w:tcW w:w="20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(869,000)</w:t>
            </w:r>
          </w:p>
        </w:tc>
        <w:tc>
          <w:tcPr>
            <w:tcW w:w="24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(869,000)</w:t>
            </w:r>
          </w:p>
        </w:tc>
      </w:tr>
      <w:tr>
        <w:trPr>
          <w:trHeight w:val="20"/>
        </w:trPr>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6"/>
        </w:trPr>
        <w:tc>
          <w:tcPr>
            <w:tcW w:w="20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(1,292,000)</w:t>
            </w: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16,618,000</w:t>
            </w:r>
          </w:p>
        </w:tc>
        <w:tc>
          <w:tcPr>
            <w:tcW w:w="2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23,000</w:t>
            </w:r>
          </w:p>
        </w:tc>
        <w:tc>
          <w:tcPr>
            <w:tcW w:w="20" w:type="dxa"/>
            <w:vAlign w:val="bottom"/>
          </w:tcPr>
          <w:p>
            <w:pPr>
              <w:spacing w:after="0"/>
              <w:rPr>
                <w:sz w:val="22"/>
                <w:szCs w:val="22"/>
                <w:color w:val="auto"/>
              </w:rPr>
            </w:pPr>
          </w:p>
        </w:tc>
      </w:tr>
      <w:tr>
        <w:trPr>
          <w:trHeight w:val="182"/>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(2,000)</w:t>
            </w:r>
          </w:p>
        </w:tc>
      </w:tr>
      <w:tr>
        <w:trPr>
          <w:trHeight w:val="297"/>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110,000</w:t>
            </w:r>
          </w:p>
        </w:tc>
        <w:tc>
          <w:tcPr>
            <w:tcW w:w="2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4,635,000</w:t>
            </w:r>
          </w:p>
        </w:tc>
        <w:tc>
          <w:tcPr>
            <w:tcW w:w="20" w:type="dxa"/>
            <w:vAlign w:val="bottom"/>
          </w:tcPr>
          <w:p>
            <w:pPr>
              <w:spacing w:after="0"/>
              <w:rPr>
                <w:sz w:val="22"/>
                <w:szCs w:val="22"/>
                <w:color w:val="auto"/>
              </w:rPr>
            </w:pPr>
          </w:p>
        </w:tc>
      </w:tr>
      <w:tr>
        <w:trPr>
          <w:trHeight w:val="149"/>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(171,000)</w:t>
            </w:r>
          </w:p>
        </w:tc>
      </w:tr>
      <w:tr>
        <w:trPr>
          <w:trHeight w:val="149"/>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180,000</w:t>
            </w:r>
          </w:p>
        </w:tc>
        <w:tc>
          <w:tcPr>
            <w:tcW w:w="20" w:type="dxa"/>
            <w:vAlign w:val="bottom"/>
          </w:tcPr>
          <w:p>
            <w:pPr>
              <w:spacing w:after="0"/>
              <w:rPr>
                <w:sz w:val="12"/>
                <w:szCs w:val="12"/>
                <w:color w:val="auto"/>
              </w:rPr>
            </w:pPr>
          </w:p>
        </w:tc>
      </w:tr>
      <w:tr>
        <w:trPr>
          <w:trHeight w:val="162"/>
        </w:trPr>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(711,000)</w:t>
            </w:r>
          </w:p>
        </w:tc>
      </w:tr>
      <w:tr>
        <w:trPr>
          <w:trHeight w:val="167"/>
        </w:trPr>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4,284,000</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4,284,000</w:t>
            </w:r>
          </w:p>
        </w:tc>
        <w:tc>
          <w:tcPr>
            <w:tcW w:w="20" w:type="dxa"/>
            <w:vAlign w:val="bottom"/>
          </w:tcPr>
          <w:p>
            <w:pPr>
              <w:spacing w:after="0"/>
              <w:rPr>
                <w:sz w:val="14"/>
                <w:szCs w:val="14"/>
                <w:color w:val="auto"/>
              </w:rPr>
            </w:pPr>
          </w:p>
        </w:tc>
      </w:tr>
      <w:tr>
        <w:trPr>
          <w:trHeight w:val="318"/>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2,992,000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24,965,000</w:t>
            </w:r>
          </w:p>
        </w:tc>
        <w:tc>
          <w:tcPr>
            <w:tcW w:w="20" w:type="dxa"/>
            <w:vAlign w:val="bottom"/>
          </w:tcPr>
          <w:p>
            <w:pPr>
              <w:spacing w:after="0"/>
              <w:rPr>
                <w:sz w:val="24"/>
                <w:szCs w:val="24"/>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8440" w:space="280"/>
            <w:col w:w="2640"/>
          </w:cols>
          <w:pgMar w:left="240" w:top="905" w:right="299" w:bottom="1440" w:gutter="0" w:footer="0" w:header="0"/>
        </w:sectPr>
      </w:pPr>
    </w:p>
    <w:bookmarkStart w:id="41" w:name="page42"/>
    <w:bookmarkEnd w:id="4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period Sept.</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For the period Jan.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For the Year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29, 2011 to</w:t>
            </w: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1, 2011 to Sept.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0"/>
              </w:rPr>
              <w:t>December 31, 2012</w:t>
            </w:r>
          </w:p>
        </w:tc>
        <w:tc>
          <w:tcPr>
            <w:tcW w:w="200" w:type="dxa"/>
            <w:vAlign w:val="bottom"/>
          </w:tcPr>
          <w:p>
            <w:pPr>
              <w:spacing w:after="0"/>
              <w:rPr>
                <w:sz w:val="19"/>
                <w:szCs w:val="19"/>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 2011</w:t>
            </w:r>
          </w:p>
        </w:tc>
        <w:tc>
          <w:tcPr>
            <w:tcW w:w="200" w:type="dxa"/>
            <w:vAlign w:val="bottom"/>
          </w:tcPr>
          <w:p>
            <w:pPr>
              <w:spacing w:after="0"/>
              <w:rPr>
                <w:sz w:val="19"/>
                <w:szCs w:val="19"/>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Predecessor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4,284,000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(869,000)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ind w:left="140"/>
              <w:spacing w:after="0" w:line="201" w:lineRule="exact"/>
              <w:rPr>
                <w:sz w:val="20"/>
                <w:szCs w:val="20"/>
                <w:color w:val="auto"/>
              </w:rPr>
            </w:pPr>
            <w:r>
              <w:rPr>
                <w:rFonts w:ascii="Arial" w:cs="Arial" w:eastAsia="Arial" w:hAnsi="Arial"/>
                <w:sz w:val="18"/>
                <w:szCs w:val="18"/>
                <w:color w:val="auto"/>
                <w:w w:val="95"/>
              </w:rPr>
              <w:t>Adjustments to reconcile net income (loss) to net cash provided by (used in)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856,000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Amortization of deferred finance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119,000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4,623,000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Stock-based licensing revenue discount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Amortization of seller note discount and prepaid interest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579,000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128,000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Amortization of other imputed interest</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26,000</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Amortization of senior note discount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235,000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58,000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Deferred income tax benefit</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(928,000)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Gain on extinguishment of debt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(422,000)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Gain on reduction of contingent obligations</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(6,300,000)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(1,262,000)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(2,191,000)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(178,000)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323,000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581,000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(423,000)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Due to affiliates</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(164,000)</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185,000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516,000</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49,000</w:t>
            </w:r>
          </w:p>
        </w:tc>
        <w:tc>
          <w:tcPr>
            <w:tcW w:w="20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2,591,000</w:t>
            </w:r>
          </w:p>
        </w:tc>
        <w:tc>
          <w:tcPr>
            <w:tcW w:w="120" w:type="dxa"/>
            <w:vAlign w:val="bottom"/>
            <w:tcBorders>
              <w:bottom w:val="single" w:sz="8" w:color="CCFFCC"/>
              <w:right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(2,059,000</w:t>
            </w:r>
          </w:p>
        </w:tc>
        <w:tc>
          <w:tcPr>
            <w:tcW w:w="300" w:type="dxa"/>
            <w:vAlign w:val="bottom"/>
            <w:tcBorders>
              <w:bottom w:val="single" w:sz="8" w:color="CCFFCC"/>
            </w:tcBorders>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FFCC"/>
          </w:tcPr>
          <w:p>
            <w:pPr>
              <w:ind w:left="140"/>
              <w:spacing w:after="0" w:line="201" w:lineRule="exact"/>
              <w:rPr>
                <w:sz w:val="20"/>
                <w:szCs w:val="20"/>
                <w:color w:val="auto"/>
              </w:rPr>
            </w:pPr>
            <w:r>
              <w:rPr>
                <w:rFonts w:ascii="Arial" w:cs="Arial" w:eastAsia="Arial" w:hAnsi="Arial"/>
                <w:sz w:val="18"/>
                <w:szCs w:val="18"/>
                <w:color w:val="auto"/>
                <w:w w:val="94"/>
              </w:rPr>
              <w:t>Acquisition of Isaac Mizrahi Trademarks and related intangible property, and</w:t>
            </w:r>
          </w:p>
        </w:tc>
        <w:tc>
          <w:tcPr>
            <w:tcW w:w="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tcBorders>
              <w:right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tangible property and equipment</w:t>
            </w:r>
          </w:p>
        </w:tc>
        <w:tc>
          <w:tcPr>
            <w:tcW w:w="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20" w:type="dxa"/>
            <w:vAlign w:val="bottom"/>
            <w:tcBorders>
              <w:right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(10,174,000)</w:t>
            </w:r>
          </w:p>
        </w:tc>
        <w:tc>
          <w:tcPr>
            <w:tcW w:w="20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Payment of assumed obligation of Seller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(117,000)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Increase in long-term security deposit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Restricted cash for security deposit</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tcBorders>
              <w:bottom w:val="single" w:sz="8" w:color="CCFFCC"/>
              <w:right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(11,991,000</w:t>
            </w:r>
          </w:p>
        </w:tc>
        <w:tc>
          <w:tcPr>
            <w:tcW w:w="300" w:type="dxa"/>
            <w:vAlign w:val="bottom"/>
            <w:tcBorders>
              <w:bottom w:val="single" w:sz="8" w:color="CCFFCC"/>
            </w:tcBorders>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Proceeds from term loan</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13,500,000</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Proceeds from sale of common stock and warrants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4,305,000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Shares repurchased on vesting of restricted stock</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(711,000)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Payment of expenses related to equity and recapitalization</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(562,000)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(Payment) Refund of deferred finance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(472,000)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Repayment of lease obligation</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Repayment of Installment debt obligation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(556,000)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Member distributions</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00" w:type="dxa"/>
            <w:vAlign w:val="bottom"/>
            <w:tcBorders>
              <w:right w:val="single" w:sz="8" w:color="auto"/>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(1,263,000</w:t>
            </w:r>
          </w:p>
        </w:tc>
        <w:tc>
          <w:tcPr>
            <w:tcW w:w="120" w:type="dxa"/>
            <w:vAlign w:val="bottom"/>
            <w:tcBorders>
              <w:bottom w:val="single" w:sz="8" w:color="CCFFCC"/>
              <w:right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16,768,000</w:t>
            </w:r>
          </w:p>
        </w:tc>
        <w:tc>
          <w:tcPr>
            <w:tcW w:w="3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(2,147,000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1,211,000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2,718,000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2,718,000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right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4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3,929,000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2,718,000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right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30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3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Warrants issued to Licensee</w:t>
            </w:r>
          </w:p>
        </w:tc>
        <w:tc>
          <w:tcPr>
            <w:tcW w:w="4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Shares issued in connection with settlement of debt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220" w:type="dxa"/>
            <w:vAlign w:val="bottom"/>
            <w:tcBorders>
              <w:top w:val="single" w:sz="8" w:color="auto"/>
              <w:bottom w:val="single" w:sz="8" w:color="auto"/>
            </w:tcBorders>
            <w:shd w:val="clear" w:color="auto" w:fill="CCFFCC"/>
          </w:tcPr>
          <w:p>
            <w:pPr>
              <w:jc w:val="right"/>
              <w:ind w:right="61"/>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180,000</w:t>
            </w:r>
          </w:p>
        </w:tc>
        <w:tc>
          <w:tcPr>
            <w:tcW w:w="12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240" w:type="dxa"/>
            <w:vAlign w:val="bottom"/>
            <w:tcBorders>
              <w:top w:val="single" w:sz="8" w:color="CCFFCC"/>
              <w:bottom w:val="single" w:sz="8" w:color="CCFFCC"/>
            </w:tcBorders>
            <w:shd w:val="clear" w:color="auto" w:fill="CCFFCC"/>
          </w:tcPr>
          <w:p>
            <w:pPr>
              <w:spacing w:after="0"/>
              <w:rPr>
                <w:sz w:val="17"/>
                <w:szCs w:val="17"/>
                <w:color w:val="auto"/>
              </w:rPr>
            </w:pPr>
          </w:p>
        </w:tc>
        <w:tc>
          <w:tcPr>
            <w:tcW w:w="1340" w:type="dxa"/>
            <w:vAlign w:val="bottom"/>
            <w:tcBorders>
              <w:top w:val="single" w:sz="8" w:color="CCFFCC"/>
              <w:bottom w:val="single" w:sz="8" w:color="CCFFCC"/>
            </w:tcBorders>
            <w:shd w:val="clear" w:color="auto" w:fill="CCFFCC"/>
          </w:tcPr>
          <w:p>
            <w:pPr>
              <w:spacing w:after="0"/>
              <w:rPr>
                <w:sz w:val="17"/>
                <w:szCs w:val="17"/>
                <w:color w:val="auto"/>
              </w:rPr>
            </w:pPr>
          </w:p>
        </w:tc>
        <w:tc>
          <w:tcPr>
            <w:tcW w:w="30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3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spacing w:after="0"/>
              <w:rPr>
                <w:sz w:val="20"/>
                <w:szCs w:val="20"/>
                <w:color w:val="auto"/>
              </w:rPr>
            </w:pPr>
            <w:r>
              <w:rPr>
                <w:rFonts w:ascii="Arial" w:cs="Arial" w:eastAsia="Arial" w:hAnsi="Arial"/>
                <w:sz w:val="18"/>
                <w:szCs w:val="18"/>
                <w:color w:val="auto"/>
              </w:rPr>
              <w:t>Forfeiture of employee stock grants</w:t>
            </w: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Borders>
              <w:bottom w:val="single" w:sz="8" w:color="CCFFCC"/>
            </w:tcBorders>
            <w:vMerge w:val="continue"/>
          </w:tcPr>
          <w:p>
            <w:pPr>
              <w:spacing w:after="0"/>
              <w:rPr>
                <w:sz w:val="20"/>
                <w:szCs w:val="20"/>
                <w:color w:val="auto"/>
              </w:rPr>
            </w:pPr>
          </w:p>
        </w:tc>
        <w:tc>
          <w:tcPr>
            <w:tcW w:w="180" w:type="dxa"/>
            <w:vAlign w:val="bottom"/>
            <w:tcBorders>
              <w:bottom w:val="single" w:sz="8" w:color="CCFFCC"/>
            </w:tcBorders>
            <w:vMerge w:val="continue"/>
          </w:tcPr>
          <w:p>
            <w:pPr>
              <w:spacing w:after="0"/>
              <w:rPr>
                <w:sz w:val="20"/>
                <w:szCs w:val="20"/>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120" w:type="dxa"/>
            <w:vAlign w:val="bottom"/>
            <w:tcBorders>
              <w:bottom w:val="single" w:sz="8" w:color="CCFFCC"/>
              <w:right w:val="single" w:sz="8" w:color="auto"/>
            </w:tcBorders>
            <w:vMerge w:val="continue"/>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1340" w:type="dxa"/>
            <w:vAlign w:val="bottom"/>
            <w:tcBorders>
              <w:bottom w:val="single" w:sz="8" w:color="CCFFCC"/>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13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Restricted stock grants to employees and directors</w:t>
            </w:r>
          </w:p>
        </w:tc>
        <w:tc>
          <w:tcPr>
            <w:tcW w:w="18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1"/>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4,635,000</w:t>
            </w:r>
          </w:p>
        </w:tc>
        <w:tc>
          <w:tcPr>
            <w:tcW w:w="120" w:type="dxa"/>
            <w:vAlign w:val="bottom"/>
            <w:tcBorders>
              <w:bottom w:val="single" w:sz="8" w:color="CCFFCC"/>
              <w:right w:val="single" w:sz="8" w:color="auto"/>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134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spacing w:after="0" w:line="195" w:lineRule="exact"/>
              <w:rPr>
                <w:sz w:val="20"/>
                <w:szCs w:val="20"/>
                <w:color w:val="auto"/>
              </w:rPr>
            </w:pPr>
            <w:r>
              <w:rPr>
                <w:rFonts w:ascii="Arial" w:cs="Arial" w:eastAsia="Arial" w:hAnsi="Arial"/>
                <w:sz w:val="18"/>
                <w:szCs w:val="18"/>
                <w:color w:val="auto"/>
              </w:rPr>
              <w:t>Retrospective accounting adjustment increasing deferred tax liability and</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9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1,274,000</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Borders>
              <w:top w:val="single" w:sz="8" w:color="CCFFCC"/>
            </w:tcBorders>
            <w:shd w:val="clear" w:color="auto" w:fill="CCFFCC"/>
          </w:tcPr>
          <w:p>
            <w:pPr>
              <w:ind w:left="140"/>
              <w:spacing w:after="0" w:line="156" w:lineRule="exact"/>
              <w:rPr>
                <w:sz w:val="20"/>
                <w:szCs w:val="20"/>
                <w:color w:val="auto"/>
              </w:rPr>
            </w:pPr>
            <w:r>
              <w:rPr>
                <w:rFonts w:ascii="Arial" w:cs="Arial" w:eastAsia="Arial" w:hAnsi="Arial"/>
                <w:sz w:val="18"/>
                <w:szCs w:val="18"/>
                <w:color w:val="auto"/>
              </w:rPr>
              <w:t>Value of common stock issued to Sellers as partial consideration in the</w:t>
            </w:r>
          </w:p>
        </w:tc>
        <w:tc>
          <w:tcPr>
            <w:tcW w:w="180" w:type="dxa"/>
            <w:vAlign w:val="bottom"/>
            <w:tcBorders>
              <w:top w:val="single" w:sz="8" w:color="CCFFCC"/>
            </w:tcBorders>
            <w:shd w:val="clear" w:color="auto" w:fill="CCFFCC"/>
          </w:tcPr>
          <w:p>
            <w:pPr>
              <w:spacing w:after="0"/>
              <w:rPr>
                <w:sz w:val="13"/>
                <w:szCs w:val="13"/>
                <w:color w:val="auto"/>
              </w:rPr>
            </w:pPr>
          </w:p>
        </w:tc>
        <w:tc>
          <w:tcPr>
            <w:tcW w:w="220" w:type="dxa"/>
            <w:vAlign w:val="bottom"/>
            <w:tcBorders>
              <w:top w:val="single" w:sz="8" w:color="CCFFCC"/>
            </w:tcBorders>
            <w:shd w:val="clear" w:color="auto" w:fill="CCFFCC"/>
          </w:tcPr>
          <w:p>
            <w:pPr>
              <w:spacing w:after="0"/>
              <w:rPr>
                <w:sz w:val="13"/>
                <w:szCs w:val="13"/>
                <w:color w:val="auto"/>
              </w:rPr>
            </w:pPr>
          </w:p>
        </w:tc>
        <w:tc>
          <w:tcPr>
            <w:tcW w:w="1280" w:type="dxa"/>
            <w:vAlign w:val="bottom"/>
            <w:tcBorders>
              <w:top w:val="single" w:sz="8" w:color="CCFFCC"/>
            </w:tcBorders>
            <w:shd w:val="clear" w:color="auto" w:fill="CCFFCC"/>
          </w:tcPr>
          <w:p>
            <w:pPr>
              <w:spacing w:after="0"/>
              <w:rPr>
                <w:sz w:val="13"/>
                <w:szCs w:val="13"/>
                <w:color w:val="auto"/>
              </w:rPr>
            </w:pPr>
          </w:p>
        </w:tc>
        <w:tc>
          <w:tcPr>
            <w:tcW w:w="120" w:type="dxa"/>
            <w:vAlign w:val="bottom"/>
            <w:tcBorders>
              <w:top w:val="single" w:sz="8" w:color="CCFFCC"/>
              <w:right w:val="single" w:sz="8" w:color="auto"/>
            </w:tcBorders>
            <w:shd w:val="clear" w:color="auto" w:fill="CCFFCC"/>
          </w:tcPr>
          <w:p>
            <w:pPr>
              <w:spacing w:after="0"/>
              <w:rPr>
                <w:sz w:val="13"/>
                <w:szCs w:val="13"/>
                <w:color w:val="auto"/>
              </w:rPr>
            </w:pPr>
          </w:p>
        </w:tc>
        <w:tc>
          <w:tcPr>
            <w:tcW w:w="200" w:type="dxa"/>
            <w:vAlign w:val="bottom"/>
            <w:tcBorders>
              <w:top w:val="single" w:sz="8" w:color="CCFFCC"/>
            </w:tcBorders>
            <w:shd w:val="clear" w:color="auto" w:fill="CCFFCC"/>
          </w:tcPr>
          <w:p>
            <w:pPr>
              <w:spacing w:after="0"/>
              <w:rPr>
                <w:sz w:val="13"/>
                <w:szCs w:val="13"/>
                <w:color w:val="auto"/>
              </w:rPr>
            </w:pPr>
          </w:p>
        </w:tc>
        <w:tc>
          <w:tcPr>
            <w:tcW w:w="240" w:type="dxa"/>
            <w:vAlign w:val="bottom"/>
            <w:tcBorders>
              <w:top w:val="single" w:sz="8" w:color="auto"/>
            </w:tcBorders>
            <w:shd w:val="clear" w:color="auto" w:fill="CCFFCC"/>
          </w:tcPr>
          <w:p>
            <w:pPr>
              <w:spacing w:after="0" w:line="15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FFCC"/>
          </w:tcPr>
          <w:p>
            <w:pPr>
              <w:jc w:val="right"/>
              <w:spacing w:after="0" w:line="156" w:lineRule="exact"/>
              <w:rPr>
                <w:sz w:val="20"/>
                <w:szCs w:val="20"/>
                <w:color w:val="auto"/>
              </w:rPr>
            </w:pPr>
            <w:r>
              <w:rPr>
                <w:rFonts w:ascii="Arial" w:cs="Arial" w:eastAsia="Arial" w:hAnsi="Arial"/>
                <w:sz w:val="18"/>
                <w:szCs w:val="18"/>
                <w:color w:val="auto"/>
              </w:rPr>
              <w:t>9,215,000</w:t>
            </w:r>
          </w:p>
        </w:tc>
        <w:tc>
          <w:tcPr>
            <w:tcW w:w="300" w:type="dxa"/>
            <w:vAlign w:val="bottom"/>
            <w:tcBorders>
              <w:top w:val="single" w:sz="8" w:color="CCFFCC"/>
            </w:tcBorders>
            <w:shd w:val="clear" w:color="auto" w:fill="CCFFCC"/>
          </w:tcPr>
          <w:p>
            <w:pPr>
              <w:spacing w:after="0"/>
              <w:rPr>
                <w:sz w:val="13"/>
                <w:szCs w:val="13"/>
                <w:color w:val="auto"/>
              </w:rPr>
            </w:pPr>
          </w:p>
        </w:tc>
        <w:tc>
          <w:tcPr>
            <w:tcW w:w="200" w:type="dxa"/>
            <w:vAlign w:val="bottom"/>
            <w:tcBorders>
              <w:top w:val="single" w:sz="8" w:color="CCFFCC"/>
            </w:tcBorders>
            <w:shd w:val="clear" w:color="auto" w:fill="CCFFCC"/>
          </w:tcPr>
          <w:p>
            <w:pPr>
              <w:spacing w:after="0"/>
              <w:rPr>
                <w:sz w:val="13"/>
                <w:szCs w:val="13"/>
                <w:color w:val="auto"/>
              </w:rPr>
            </w:pPr>
          </w:p>
        </w:tc>
        <w:tc>
          <w:tcPr>
            <w:tcW w:w="130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Isaac Mizrahi Business</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120" w:type="dxa"/>
            <w:vAlign w:val="bottom"/>
            <w:tcBorders>
              <w:right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3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20" w:type="dxa"/>
            <w:vAlign w:val="bottom"/>
          </w:tcPr>
          <w:p>
            <w:pPr>
              <w:spacing w:after="0"/>
              <w:rPr>
                <w:sz w:val="5"/>
                <w:szCs w:val="5"/>
                <w:color w:val="auto"/>
              </w:rPr>
            </w:pPr>
          </w:p>
        </w:tc>
        <w:tc>
          <w:tcPr>
            <w:tcW w:w="3660" w:type="dxa"/>
            <w:vAlign w:val="bottom"/>
            <w:tcBorders>
              <w:top w:val="single" w:sz="8" w:color="CCFFCC"/>
            </w:tcBorders>
            <w:vMerge w:val="restart"/>
          </w:tcPr>
          <w:p>
            <w:pPr>
              <w:ind w:left="140"/>
              <w:spacing w:after="0"/>
              <w:rPr>
                <w:sz w:val="20"/>
                <w:szCs w:val="20"/>
                <w:color w:val="auto"/>
              </w:rPr>
            </w:pPr>
            <w:r>
              <w:rPr>
                <w:rFonts w:ascii="Arial" w:cs="Arial" w:eastAsia="Arial" w:hAnsi="Arial"/>
                <w:sz w:val="18"/>
                <w:szCs w:val="18"/>
                <w:color w:val="auto"/>
                <w:w w:val="90"/>
              </w:rPr>
              <w:t>Value of common stock issued to Earthbound as</w:t>
            </w:r>
          </w:p>
        </w:tc>
        <w:tc>
          <w:tcPr>
            <w:tcW w:w="2880" w:type="dxa"/>
            <w:vAlign w:val="bottom"/>
            <w:tcBorders>
              <w:top w:val="single" w:sz="8" w:color="CCFFCC"/>
            </w:tcBorders>
            <w:gridSpan w:val="2"/>
            <w:vMerge w:val="restart"/>
          </w:tcPr>
          <w:p>
            <w:pPr>
              <w:jc w:val="right"/>
              <w:ind w:right="845"/>
              <w:spacing w:after="0"/>
              <w:rPr>
                <w:sz w:val="20"/>
                <w:szCs w:val="20"/>
                <w:color w:val="auto"/>
              </w:rPr>
            </w:pPr>
            <w:r>
              <w:rPr>
                <w:rFonts w:ascii="Arial" w:cs="Arial" w:eastAsia="Arial" w:hAnsi="Arial"/>
                <w:sz w:val="18"/>
                <w:szCs w:val="18"/>
                <w:color w:val="auto"/>
                <w:w w:val="92"/>
              </w:rPr>
              <w:t>partial consideration in the</w:t>
            </w:r>
          </w:p>
        </w:tc>
        <w:tc>
          <w:tcPr>
            <w:tcW w:w="1060" w:type="dxa"/>
            <w:vAlign w:val="bottom"/>
            <w:tcBorders>
              <w:top w:val="single" w:sz="8" w:color="CCFFCC"/>
            </w:tcBorders>
          </w:tcPr>
          <w:p>
            <w:pPr>
              <w:spacing w:after="0"/>
              <w:rPr>
                <w:sz w:val="5"/>
                <w:szCs w:val="5"/>
                <w:color w:val="auto"/>
              </w:rPr>
            </w:pPr>
          </w:p>
        </w:tc>
        <w:tc>
          <w:tcPr>
            <w:tcW w:w="120" w:type="dxa"/>
            <w:vAlign w:val="bottom"/>
            <w:tcBorders>
              <w:top w:val="single" w:sz="8" w:color="CCFFCC"/>
              <w:right w:val="single" w:sz="8" w:color="auto"/>
            </w:tcBorders>
          </w:tcPr>
          <w:p>
            <w:pPr>
              <w:spacing w:after="0"/>
              <w:rPr>
                <w:sz w:val="5"/>
                <w:szCs w:val="5"/>
                <w:color w:val="auto"/>
              </w:rPr>
            </w:pPr>
          </w:p>
        </w:tc>
        <w:tc>
          <w:tcPr>
            <w:tcW w:w="200" w:type="dxa"/>
            <w:vAlign w:val="bottom"/>
            <w:tcBorders>
              <w:top w:val="single" w:sz="8" w:color="CCFFCC"/>
            </w:tcBorders>
          </w:tcPr>
          <w:p>
            <w:pPr>
              <w:spacing w:after="0"/>
              <w:rPr>
                <w:sz w:val="5"/>
                <w:szCs w:val="5"/>
                <w:color w:val="auto"/>
              </w:rPr>
            </w:pPr>
          </w:p>
        </w:tc>
        <w:tc>
          <w:tcPr>
            <w:tcW w:w="420" w:type="dxa"/>
            <w:vAlign w:val="bottom"/>
            <w:tcBorders>
              <w:top w:val="single" w:sz="8" w:color="auto"/>
            </w:tcBorders>
            <w:shd w:val="clear" w:color="auto" w:fill="000000"/>
          </w:tcPr>
          <w:p>
            <w:pPr>
              <w:spacing w:after="0"/>
              <w:rPr>
                <w:sz w:val="5"/>
                <w:szCs w:val="5"/>
                <w:color w:val="auto"/>
              </w:rPr>
            </w:pPr>
          </w:p>
        </w:tc>
        <w:tc>
          <w:tcPr>
            <w:tcW w:w="1160" w:type="dxa"/>
            <w:vAlign w:val="bottom"/>
            <w:tcBorders>
              <w:top w:val="single" w:sz="8" w:color="auto"/>
            </w:tcBorders>
            <w:shd w:val="clear" w:color="auto" w:fill="000000"/>
          </w:tcPr>
          <w:p>
            <w:pPr>
              <w:spacing w:after="0"/>
              <w:rPr>
                <w:sz w:val="5"/>
                <w:szCs w:val="5"/>
                <w:color w:val="auto"/>
              </w:rPr>
            </w:pPr>
          </w:p>
        </w:tc>
        <w:tc>
          <w:tcPr>
            <w:tcW w:w="300" w:type="dxa"/>
            <w:vAlign w:val="bottom"/>
            <w:tcBorders>
              <w:top w:val="single" w:sz="8" w:color="CCFFCC"/>
            </w:tcBorders>
          </w:tcPr>
          <w:p>
            <w:pPr>
              <w:spacing w:after="0"/>
              <w:rPr>
                <w:sz w:val="5"/>
                <w:szCs w:val="5"/>
                <w:color w:val="auto"/>
              </w:rPr>
            </w:pPr>
          </w:p>
        </w:tc>
        <w:tc>
          <w:tcPr>
            <w:tcW w:w="500" w:type="dxa"/>
            <w:vAlign w:val="bottom"/>
            <w:tcBorders>
              <w:top w:val="single" w:sz="8" w:color="CCFFCC"/>
            </w:tcBorders>
          </w:tcPr>
          <w:p>
            <w:pPr>
              <w:spacing w:after="0"/>
              <w:rPr>
                <w:sz w:val="5"/>
                <w:szCs w:val="5"/>
                <w:color w:val="auto"/>
              </w:rPr>
            </w:pPr>
          </w:p>
        </w:tc>
        <w:tc>
          <w:tcPr>
            <w:tcW w:w="1000" w:type="dxa"/>
            <w:vAlign w:val="bottom"/>
            <w:tcBorders>
              <w:top w:val="single" w:sz="8" w:color="CCFFCC"/>
            </w:tcBorders>
          </w:tcPr>
          <w:p>
            <w:pPr>
              <w:spacing w:after="0"/>
              <w:rPr>
                <w:sz w:val="5"/>
                <w:szCs w:val="5"/>
                <w:color w:val="auto"/>
              </w:rPr>
            </w:pPr>
          </w:p>
        </w:tc>
        <w:tc>
          <w:tcPr>
            <w:tcW w:w="100" w:type="dxa"/>
            <w:vAlign w:val="bottom"/>
            <w:tcBorders>
              <w:top w:val="single" w:sz="8" w:color="CCFFCC"/>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vMerge w:val="continue"/>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680" w:type="dxa"/>
            <w:vAlign w:val="bottom"/>
            <w:gridSpan w:val="2"/>
          </w:tcPr>
          <w:p>
            <w:pPr>
              <w:spacing w:after="0"/>
              <w:rPr>
                <w:sz w:val="20"/>
                <w:szCs w:val="20"/>
                <w:color w:val="auto"/>
              </w:rPr>
            </w:pPr>
            <w:r>
              <w:rPr>
                <w:rFonts w:ascii="Arial" w:cs="Arial" w:eastAsia="Arial" w:hAnsi="Arial"/>
                <w:sz w:val="18"/>
                <w:szCs w:val="18"/>
                <w:color w:val="auto"/>
              </w:rPr>
              <w:t>acquisition of Isaac Mizrahi Business</w:t>
            </w: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3,155,000</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40" w:type="dxa"/>
            <w:vAlign w:val="bottom"/>
            <w:tcBorders>
              <w:top w:val="single" w:sz="8" w:color="CCFFCC"/>
            </w:tcBorders>
            <w:gridSpan w:val="3"/>
            <w:shd w:val="clear" w:color="auto" w:fill="CCFFCC"/>
          </w:tcPr>
          <w:p>
            <w:pPr>
              <w:ind w:left="140"/>
              <w:spacing w:after="0" w:line="156" w:lineRule="exact"/>
              <w:rPr>
                <w:sz w:val="20"/>
                <w:szCs w:val="20"/>
                <w:color w:val="auto"/>
              </w:rPr>
            </w:pPr>
            <w:r>
              <w:rPr>
                <w:rFonts w:ascii="Arial" w:cs="Arial" w:eastAsia="Arial" w:hAnsi="Arial"/>
                <w:sz w:val="18"/>
                <w:szCs w:val="18"/>
                <w:color w:val="auto"/>
              </w:rPr>
              <w:t>Issuance of Seller Notes as partial consideration in the acquisition of Isaac</w:t>
            </w:r>
          </w:p>
        </w:tc>
        <w:tc>
          <w:tcPr>
            <w:tcW w:w="1060" w:type="dxa"/>
            <w:vAlign w:val="bottom"/>
            <w:tcBorders>
              <w:top w:val="single" w:sz="8" w:color="CCFFCC"/>
            </w:tcBorders>
            <w:shd w:val="clear" w:color="auto" w:fill="CCFFCC"/>
          </w:tcPr>
          <w:p>
            <w:pPr>
              <w:spacing w:after="0"/>
              <w:rPr>
                <w:sz w:val="13"/>
                <w:szCs w:val="13"/>
                <w:color w:val="auto"/>
              </w:rPr>
            </w:pPr>
          </w:p>
        </w:tc>
        <w:tc>
          <w:tcPr>
            <w:tcW w:w="120" w:type="dxa"/>
            <w:vAlign w:val="bottom"/>
            <w:tcBorders>
              <w:top w:val="single" w:sz="8" w:color="CCFFCC"/>
              <w:right w:val="single" w:sz="8" w:color="auto"/>
            </w:tcBorders>
            <w:shd w:val="clear" w:color="auto" w:fill="CCFFCC"/>
          </w:tcPr>
          <w:p>
            <w:pPr>
              <w:spacing w:after="0"/>
              <w:rPr>
                <w:sz w:val="13"/>
                <w:szCs w:val="13"/>
                <w:color w:val="auto"/>
              </w:rPr>
            </w:pPr>
          </w:p>
        </w:tc>
        <w:tc>
          <w:tcPr>
            <w:tcW w:w="200" w:type="dxa"/>
            <w:vAlign w:val="bottom"/>
            <w:tcBorders>
              <w:top w:val="single" w:sz="8" w:color="CCFFCC"/>
            </w:tcBorders>
            <w:shd w:val="clear" w:color="auto" w:fill="CCFFCC"/>
          </w:tcPr>
          <w:p>
            <w:pPr>
              <w:spacing w:after="0"/>
              <w:rPr>
                <w:sz w:val="13"/>
                <w:szCs w:val="13"/>
                <w:color w:val="auto"/>
              </w:rPr>
            </w:pPr>
          </w:p>
        </w:tc>
        <w:tc>
          <w:tcPr>
            <w:tcW w:w="420" w:type="dxa"/>
            <w:vAlign w:val="bottom"/>
            <w:tcBorders>
              <w:top w:val="single" w:sz="8" w:color="auto"/>
            </w:tcBorders>
            <w:shd w:val="clear" w:color="auto" w:fill="CCFFCC"/>
          </w:tcPr>
          <w:p>
            <w:pPr>
              <w:spacing w:after="0"/>
              <w:rPr>
                <w:sz w:val="13"/>
                <w:szCs w:val="13"/>
                <w:color w:val="auto"/>
              </w:rPr>
            </w:pPr>
          </w:p>
        </w:tc>
        <w:tc>
          <w:tcPr>
            <w:tcW w:w="1160" w:type="dxa"/>
            <w:vAlign w:val="bottom"/>
            <w:tcBorders>
              <w:top w:val="single" w:sz="8" w:color="auto"/>
            </w:tcBorders>
            <w:shd w:val="clear" w:color="auto" w:fill="CCFFCC"/>
          </w:tcPr>
          <w:p>
            <w:pPr>
              <w:spacing w:after="0"/>
              <w:rPr>
                <w:sz w:val="13"/>
                <w:szCs w:val="13"/>
                <w:color w:val="auto"/>
              </w:rPr>
            </w:pPr>
          </w:p>
        </w:tc>
        <w:tc>
          <w:tcPr>
            <w:tcW w:w="300" w:type="dxa"/>
            <w:vAlign w:val="bottom"/>
            <w:tcBorders>
              <w:top w:val="single" w:sz="8" w:color="CCFFCC"/>
            </w:tcBorders>
            <w:shd w:val="clear" w:color="auto" w:fill="CCFFCC"/>
          </w:tcPr>
          <w:p>
            <w:pPr>
              <w:spacing w:after="0"/>
              <w:rPr>
                <w:sz w:val="13"/>
                <w:szCs w:val="13"/>
                <w:color w:val="auto"/>
              </w:rPr>
            </w:pPr>
          </w:p>
        </w:tc>
        <w:tc>
          <w:tcPr>
            <w:tcW w:w="500" w:type="dxa"/>
            <w:vAlign w:val="bottom"/>
            <w:tcBorders>
              <w:top w:val="single" w:sz="8" w:color="CCFFCC"/>
            </w:tcBorders>
            <w:shd w:val="clear" w:color="auto" w:fill="CCFFCC"/>
          </w:tcPr>
          <w:p>
            <w:pPr>
              <w:spacing w:after="0"/>
              <w:rPr>
                <w:sz w:val="13"/>
                <w:szCs w:val="13"/>
                <w:color w:val="auto"/>
              </w:rPr>
            </w:pPr>
          </w:p>
        </w:tc>
        <w:tc>
          <w:tcPr>
            <w:tcW w:w="100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Mizrahi Business (net of debt discount - see Note 4)</w:t>
            </w:r>
          </w:p>
        </w:tc>
        <w:tc>
          <w:tcPr>
            <w:tcW w:w="1060" w:type="dxa"/>
            <w:vAlign w:val="bottom"/>
            <w:shd w:val="clear" w:color="auto" w:fill="CCFFCC"/>
          </w:tcPr>
          <w:p>
            <w:pPr>
              <w:spacing w:after="0"/>
              <w:rPr>
                <w:sz w:val="22"/>
                <w:szCs w:val="22"/>
                <w:color w:val="auto"/>
              </w:rPr>
            </w:pPr>
          </w:p>
        </w:tc>
        <w:tc>
          <w:tcPr>
            <w:tcW w:w="120" w:type="dxa"/>
            <w:vAlign w:val="bottom"/>
            <w:tcBorders>
              <w:right w:val="single" w:sz="8" w:color="auto"/>
            </w:tcBorders>
            <w:shd w:val="clear" w:color="auto" w:fill="CCFFCC"/>
          </w:tcPr>
          <w:p>
            <w:pPr>
              <w:spacing w:after="0"/>
              <w:rPr>
                <w:sz w:val="22"/>
                <w:szCs w:val="22"/>
                <w:color w:val="auto"/>
              </w:rPr>
            </w:pPr>
          </w:p>
        </w:tc>
        <w:tc>
          <w:tcPr>
            <w:tcW w:w="62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5,637,000</w:t>
            </w:r>
          </w:p>
        </w:tc>
        <w:tc>
          <w:tcPr>
            <w:tcW w:w="500" w:type="dxa"/>
            <w:vAlign w:val="bottom"/>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FFCC"/>
            </w:tcBorders>
            <w:gridSpan w:val="2"/>
          </w:tcPr>
          <w:p>
            <w:pPr>
              <w:spacing w:after="0" w:line="20" w:lineRule="exact"/>
              <w:rPr>
                <w:sz w:val="1"/>
                <w:szCs w:val="1"/>
                <w:color w:val="auto"/>
              </w:rPr>
            </w:pPr>
          </w:p>
        </w:tc>
        <w:tc>
          <w:tcPr>
            <w:tcW w:w="44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gridSpan w:val="3"/>
            <w:shd w:val="clear" w:color="auto" w:fill="CCFFCC"/>
          </w:tcPr>
          <w:p>
            <w:pPr>
              <w:ind w:left="140"/>
              <w:spacing w:after="0" w:line="201" w:lineRule="exact"/>
              <w:rPr>
                <w:sz w:val="20"/>
                <w:szCs w:val="20"/>
                <w:color w:val="auto"/>
              </w:rPr>
            </w:pPr>
            <w:r>
              <w:rPr>
                <w:rFonts w:ascii="Arial" w:cs="Arial" w:eastAsia="Arial" w:hAnsi="Arial"/>
                <w:sz w:val="18"/>
                <w:szCs w:val="18"/>
                <w:color w:val="auto"/>
              </w:rPr>
              <w:t>Value of Warrants to purchase 364,428 of common stock for $.01 per share</w:t>
            </w:r>
          </w:p>
        </w:tc>
        <w:tc>
          <w:tcPr>
            <w:tcW w:w="1060" w:type="dxa"/>
            <w:vAlign w:val="bottom"/>
            <w:shd w:val="clear" w:color="auto" w:fill="CCFFCC"/>
          </w:tcPr>
          <w:p>
            <w:pPr>
              <w:spacing w:after="0"/>
              <w:rPr>
                <w:sz w:val="17"/>
                <w:szCs w:val="17"/>
                <w:color w:val="auto"/>
              </w:rPr>
            </w:pPr>
          </w:p>
        </w:tc>
        <w:tc>
          <w:tcPr>
            <w:tcW w:w="120" w:type="dxa"/>
            <w:vAlign w:val="bottom"/>
            <w:tcBorders>
              <w:right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issued to Noteholders</w:t>
            </w:r>
          </w:p>
        </w:tc>
        <w:tc>
          <w:tcPr>
            <w:tcW w:w="244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060" w:type="dxa"/>
            <w:vAlign w:val="bottom"/>
            <w:shd w:val="clear" w:color="auto" w:fill="CCFFCC"/>
          </w:tcPr>
          <w:p>
            <w:pPr>
              <w:spacing w:after="0"/>
              <w:rPr>
                <w:sz w:val="22"/>
                <w:szCs w:val="22"/>
                <w:color w:val="auto"/>
              </w:rPr>
            </w:pPr>
          </w:p>
        </w:tc>
        <w:tc>
          <w:tcPr>
            <w:tcW w:w="120" w:type="dxa"/>
            <w:vAlign w:val="bottom"/>
            <w:tcBorders>
              <w:right w:val="single" w:sz="8" w:color="auto"/>
            </w:tcBorders>
            <w:shd w:val="clear" w:color="auto" w:fill="CCFFCC"/>
          </w:tcPr>
          <w:p>
            <w:pPr>
              <w:spacing w:after="0"/>
              <w:rPr>
                <w:sz w:val="22"/>
                <w:szCs w:val="22"/>
                <w:color w:val="auto"/>
              </w:rPr>
            </w:pPr>
          </w:p>
        </w:tc>
        <w:tc>
          <w:tcPr>
            <w:tcW w:w="62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1,214,000</w:t>
            </w:r>
          </w:p>
        </w:tc>
        <w:tc>
          <w:tcPr>
            <w:tcW w:w="500" w:type="dxa"/>
            <w:vAlign w:val="bottom"/>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FFCC"/>
              <w:bottom w:val="single" w:sz="8" w:color="CCFFCC"/>
            </w:tcBorders>
            <w:gridSpan w:val="3"/>
            <w:vMerge w:val="restart"/>
          </w:tcPr>
          <w:p>
            <w:pPr>
              <w:ind w:left="140"/>
              <w:spacing w:after="0"/>
              <w:rPr>
                <w:sz w:val="20"/>
                <w:szCs w:val="20"/>
                <w:color w:val="auto"/>
              </w:rPr>
            </w:pPr>
            <w:r>
              <w:rPr>
                <w:rFonts w:ascii="Arial" w:cs="Arial" w:eastAsia="Arial" w:hAnsi="Arial"/>
                <w:sz w:val="18"/>
                <w:szCs w:val="18"/>
                <w:color w:val="auto"/>
              </w:rPr>
              <w:t>Contingent equity pay-out relating to acquisition of Isaac Mizrahi Business</w:t>
            </w:r>
          </w:p>
        </w:tc>
        <w:tc>
          <w:tcPr>
            <w:tcW w:w="1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200" w:type="dxa"/>
            <w:vAlign w:val="bottom"/>
            <w:tcBorders>
              <w:top w:val="single" w:sz="8" w:color="CCFFCC"/>
              <w:bottom w:val="single" w:sz="8" w:color="CCFFCC"/>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bottom w:val="single" w:sz="8" w:color="CCFFCC"/>
            </w:tcBorders>
            <w:vMerge w:val="restart"/>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Borders>
              <w:bottom w:val="single" w:sz="8" w:color="CCFFCC"/>
            </w:tcBorders>
            <w:gridSpan w:val="3"/>
            <w:vMerge w:val="continue"/>
          </w:tcPr>
          <w:p>
            <w:pPr>
              <w:spacing w:after="0"/>
              <w:rPr>
                <w:sz w:val="20"/>
                <w:szCs w:val="20"/>
                <w:color w:val="auto"/>
              </w:rPr>
            </w:pPr>
          </w:p>
        </w:tc>
        <w:tc>
          <w:tcPr>
            <w:tcW w:w="106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right w:val="single" w:sz="8" w:color="auto"/>
            </w:tcBorders>
          </w:tcPr>
          <w:p>
            <w:pPr>
              <w:spacing w:after="0"/>
              <w:rPr>
                <w:sz w:val="20"/>
                <w:szCs w:val="20"/>
                <w:color w:val="auto"/>
              </w:rPr>
            </w:pPr>
          </w:p>
        </w:tc>
        <w:tc>
          <w:tcPr>
            <w:tcW w:w="200" w:type="dxa"/>
            <w:vAlign w:val="bottom"/>
            <w:tcBorders>
              <w:bottom w:val="single" w:sz="8" w:color="CCFFCC"/>
            </w:tcBorders>
            <w:vMerge w:val="continue"/>
          </w:tcPr>
          <w:p>
            <w:pPr>
              <w:spacing w:after="0"/>
              <w:rPr>
                <w:sz w:val="20"/>
                <w:szCs w:val="20"/>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15,000,000</w:t>
            </w:r>
          </w:p>
        </w:tc>
        <w:tc>
          <w:tcPr>
            <w:tcW w:w="300" w:type="dxa"/>
            <w:vAlign w:val="bottom"/>
            <w:tcBorders>
              <w:bottom w:val="single" w:sz="8" w:color="CCFFCC"/>
            </w:tcBorders>
            <w:vMerge w:val="continue"/>
          </w:tcPr>
          <w:p>
            <w:pPr>
              <w:spacing w:after="0"/>
              <w:rPr>
                <w:sz w:val="20"/>
                <w:szCs w:val="20"/>
                <w:color w:val="auto"/>
              </w:rPr>
            </w:pPr>
          </w:p>
        </w:tc>
        <w:tc>
          <w:tcPr>
            <w:tcW w:w="500" w:type="dxa"/>
            <w:vAlign w:val="bottom"/>
            <w:tcBorders>
              <w:bottom w:val="single" w:sz="8" w:color="CCFFCC"/>
            </w:tcBorders>
          </w:tcPr>
          <w:p>
            <w:pPr>
              <w:spacing w:after="0"/>
              <w:rPr>
                <w:sz w:val="20"/>
                <w:szCs w:val="20"/>
                <w:color w:val="auto"/>
              </w:rPr>
            </w:pPr>
          </w:p>
        </w:tc>
        <w:tc>
          <w:tcPr>
            <w:tcW w:w="10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Borders>
              <w:bottom w:val="single" w:sz="8" w:color="CCFFCC"/>
            </w:tcBorders>
            <w:gridSpan w:val="3"/>
            <w:shd w:val="clear" w:color="auto" w:fill="CCFFCC"/>
          </w:tcPr>
          <w:p>
            <w:pPr>
              <w:ind w:left="140"/>
              <w:spacing w:after="0" w:line="190" w:lineRule="exact"/>
              <w:rPr>
                <w:sz w:val="20"/>
                <w:szCs w:val="20"/>
                <w:color w:val="auto"/>
              </w:rPr>
            </w:pPr>
            <w:r>
              <w:rPr>
                <w:rFonts w:ascii="Arial" w:cs="Arial" w:eastAsia="Arial" w:hAnsi="Arial"/>
                <w:sz w:val="18"/>
                <w:szCs w:val="18"/>
                <w:color w:val="auto"/>
              </w:rPr>
              <w:t>Contingent obligations relating to acquisition of Isaac Mizrahi Business</w:t>
            </w:r>
          </w:p>
        </w:tc>
        <w:tc>
          <w:tcPr>
            <w:tcW w:w="10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right w:val="single" w:sz="8" w:color="auto"/>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420" w:type="dxa"/>
            <w:vAlign w:val="bottom"/>
            <w:tcBorders>
              <w:bottom w:val="single" w:sz="8" w:color="auto"/>
            </w:tcBorders>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2,765,000</w:t>
            </w:r>
          </w:p>
        </w:tc>
        <w:tc>
          <w:tcPr>
            <w:tcW w:w="300" w:type="dxa"/>
            <w:vAlign w:val="bottom"/>
            <w:tcBorders>
              <w:bottom w:val="single" w:sz="8" w:color="CCFFCC"/>
            </w:tcBorders>
            <w:shd w:val="clear" w:color="auto" w:fill="CCFFCC"/>
          </w:tcPr>
          <w:p>
            <w:pPr>
              <w:spacing w:after="0"/>
              <w:rPr>
                <w:sz w:val="17"/>
                <w:szCs w:val="17"/>
                <w:color w:val="auto"/>
              </w:rPr>
            </w:pPr>
          </w:p>
        </w:tc>
        <w:tc>
          <w:tcPr>
            <w:tcW w:w="50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gridSpan w:val="3"/>
            <w:shd w:val="clear" w:color="auto" w:fill="CCFFCC"/>
          </w:tcPr>
          <w:p>
            <w:pPr>
              <w:ind w:left="140"/>
              <w:spacing w:after="0" w:line="201" w:lineRule="exact"/>
              <w:rPr>
                <w:sz w:val="20"/>
                <w:szCs w:val="20"/>
                <w:color w:val="auto"/>
              </w:rPr>
            </w:pPr>
            <w:r>
              <w:rPr>
                <w:rFonts w:ascii="Arial" w:cs="Arial" w:eastAsia="Arial" w:hAnsi="Arial"/>
                <w:sz w:val="18"/>
                <w:szCs w:val="18"/>
                <w:color w:val="auto"/>
              </w:rPr>
              <w:t>Assumed Other Long Term liabilities as partial consideration of the Isaac</w:t>
            </w:r>
          </w:p>
        </w:tc>
        <w:tc>
          <w:tcPr>
            <w:tcW w:w="1060" w:type="dxa"/>
            <w:vAlign w:val="bottom"/>
            <w:shd w:val="clear" w:color="auto" w:fill="CCFFCC"/>
          </w:tcPr>
          <w:p>
            <w:pPr>
              <w:spacing w:after="0"/>
              <w:rPr>
                <w:sz w:val="17"/>
                <w:szCs w:val="17"/>
                <w:color w:val="auto"/>
              </w:rPr>
            </w:pPr>
          </w:p>
        </w:tc>
        <w:tc>
          <w:tcPr>
            <w:tcW w:w="120" w:type="dxa"/>
            <w:vAlign w:val="bottom"/>
            <w:tcBorders>
              <w:right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Mizrahi Business</w:t>
            </w:r>
          </w:p>
        </w:tc>
        <w:tc>
          <w:tcPr>
            <w:tcW w:w="244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060" w:type="dxa"/>
            <w:vAlign w:val="bottom"/>
            <w:shd w:val="clear" w:color="auto" w:fill="CCFFCC"/>
          </w:tcPr>
          <w:p>
            <w:pPr>
              <w:spacing w:after="0"/>
              <w:rPr>
                <w:sz w:val="22"/>
                <w:szCs w:val="22"/>
                <w:color w:val="auto"/>
              </w:rPr>
            </w:pPr>
          </w:p>
        </w:tc>
        <w:tc>
          <w:tcPr>
            <w:tcW w:w="120" w:type="dxa"/>
            <w:vAlign w:val="bottom"/>
            <w:tcBorders>
              <w:right w:val="single" w:sz="8" w:color="auto"/>
            </w:tcBorders>
            <w:shd w:val="clear" w:color="auto" w:fill="CCFFCC"/>
          </w:tcPr>
          <w:p>
            <w:pPr>
              <w:spacing w:after="0"/>
              <w:rPr>
                <w:sz w:val="22"/>
                <w:szCs w:val="22"/>
                <w:color w:val="auto"/>
              </w:rPr>
            </w:pPr>
          </w:p>
        </w:tc>
        <w:tc>
          <w:tcPr>
            <w:tcW w:w="62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1,132,000</w:t>
            </w:r>
          </w:p>
        </w:tc>
        <w:tc>
          <w:tcPr>
            <w:tcW w:w="500" w:type="dxa"/>
            <w:vAlign w:val="bottom"/>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FFCC"/>
              <w:bottom w:val="single" w:sz="8" w:color="CCFFCC"/>
            </w:tcBorders>
            <w:gridSpan w:val="3"/>
            <w:vMerge w:val="restart"/>
          </w:tcPr>
          <w:p>
            <w:pPr>
              <w:ind w:left="140"/>
              <w:spacing w:after="0" w:line="195" w:lineRule="exact"/>
              <w:rPr>
                <w:sz w:val="20"/>
                <w:szCs w:val="20"/>
                <w:color w:val="auto"/>
              </w:rPr>
            </w:pPr>
            <w:r>
              <w:rPr>
                <w:rFonts w:ascii="Arial" w:cs="Arial" w:eastAsia="Arial" w:hAnsi="Arial"/>
                <w:sz w:val="18"/>
                <w:szCs w:val="18"/>
                <w:color w:val="auto"/>
              </w:rPr>
              <w:t>Deferred tax liability relating to the net tax effect of the excess book value over</w:t>
            </w:r>
          </w:p>
        </w:tc>
        <w:tc>
          <w:tcPr>
            <w:tcW w:w="1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54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680" w:type="dxa"/>
            <w:vAlign w:val="bottom"/>
            <w:gridSpan w:val="2"/>
          </w:tcPr>
          <w:p>
            <w:pPr>
              <w:spacing w:after="0"/>
              <w:rPr>
                <w:sz w:val="20"/>
                <w:szCs w:val="20"/>
                <w:color w:val="auto"/>
              </w:rPr>
            </w:pPr>
            <w:r>
              <w:rPr>
                <w:rFonts w:ascii="Arial" w:cs="Arial" w:eastAsia="Arial" w:hAnsi="Arial"/>
                <w:sz w:val="18"/>
                <w:szCs w:val="18"/>
                <w:color w:val="auto"/>
              </w:rPr>
              <w:t>tax basis of acquired intangible asset</w:t>
            </w: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9,615,000</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40" w:type="dxa"/>
            <w:vAlign w:val="bottom"/>
            <w:tcBorders>
              <w:top w:val="single" w:sz="8" w:color="CCFFCC"/>
            </w:tcBorders>
            <w:gridSpan w:val="3"/>
            <w:shd w:val="clear" w:color="auto" w:fill="CCFFCC"/>
          </w:tcPr>
          <w:p>
            <w:pPr>
              <w:ind w:left="140"/>
              <w:spacing w:after="0" w:line="156" w:lineRule="exact"/>
              <w:rPr>
                <w:sz w:val="20"/>
                <w:szCs w:val="20"/>
                <w:color w:val="auto"/>
              </w:rPr>
            </w:pPr>
            <w:r>
              <w:rPr>
                <w:rFonts w:ascii="Arial" w:cs="Arial" w:eastAsia="Arial" w:hAnsi="Arial"/>
                <w:sz w:val="18"/>
                <w:szCs w:val="18"/>
                <w:color w:val="auto"/>
              </w:rPr>
              <w:t>Deferred tax liability relating to the net tax effect of the Seller Note discount</w:t>
            </w:r>
          </w:p>
        </w:tc>
        <w:tc>
          <w:tcPr>
            <w:tcW w:w="1060" w:type="dxa"/>
            <w:vAlign w:val="bottom"/>
            <w:tcBorders>
              <w:top w:val="single" w:sz="8" w:color="CCFFCC"/>
            </w:tcBorders>
            <w:shd w:val="clear" w:color="auto" w:fill="CCFFCC"/>
          </w:tcPr>
          <w:p>
            <w:pPr>
              <w:spacing w:after="0"/>
              <w:rPr>
                <w:sz w:val="13"/>
                <w:szCs w:val="13"/>
                <w:color w:val="auto"/>
              </w:rPr>
            </w:pPr>
          </w:p>
        </w:tc>
        <w:tc>
          <w:tcPr>
            <w:tcW w:w="120" w:type="dxa"/>
            <w:vAlign w:val="bottom"/>
            <w:tcBorders>
              <w:top w:val="single" w:sz="8" w:color="CCFFCC"/>
              <w:right w:val="single" w:sz="8" w:color="auto"/>
            </w:tcBorders>
            <w:shd w:val="clear" w:color="auto" w:fill="CCFFCC"/>
          </w:tcPr>
          <w:p>
            <w:pPr>
              <w:spacing w:after="0"/>
              <w:rPr>
                <w:sz w:val="13"/>
                <w:szCs w:val="13"/>
                <w:color w:val="auto"/>
              </w:rPr>
            </w:pPr>
          </w:p>
        </w:tc>
        <w:tc>
          <w:tcPr>
            <w:tcW w:w="200" w:type="dxa"/>
            <w:vAlign w:val="bottom"/>
            <w:tcBorders>
              <w:top w:val="single" w:sz="8" w:color="CCFFCC"/>
            </w:tcBorders>
            <w:shd w:val="clear" w:color="auto" w:fill="CCFFCC"/>
          </w:tcPr>
          <w:p>
            <w:pPr>
              <w:spacing w:after="0"/>
              <w:rPr>
                <w:sz w:val="13"/>
                <w:szCs w:val="13"/>
                <w:color w:val="auto"/>
              </w:rPr>
            </w:pPr>
          </w:p>
        </w:tc>
        <w:tc>
          <w:tcPr>
            <w:tcW w:w="420" w:type="dxa"/>
            <w:vAlign w:val="bottom"/>
            <w:tcBorders>
              <w:top w:val="single" w:sz="8" w:color="auto"/>
            </w:tcBorders>
            <w:shd w:val="clear" w:color="auto" w:fill="CCFFCC"/>
          </w:tcPr>
          <w:p>
            <w:pPr>
              <w:spacing w:after="0"/>
              <w:rPr>
                <w:sz w:val="13"/>
                <w:szCs w:val="13"/>
                <w:color w:val="auto"/>
              </w:rPr>
            </w:pPr>
          </w:p>
        </w:tc>
        <w:tc>
          <w:tcPr>
            <w:tcW w:w="1160" w:type="dxa"/>
            <w:vAlign w:val="bottom"/>
            <w:tcBorders>
              <w:top w:val="single" w:sz="8" w:color="auto"/>
            </w:tcBorders>
            <w:shd w:val="clear" w:color="auto" w:fill="CCFFCC"/>
          </w:tcPr>
          <w:p>
            <w:pPr>
              <w:spacing w:after="0"/>
              <w:rPr>
                <w:sz w:val="13"/>
                <w:szCs w:val="13"/>
                <w:color w:val="auto"/>
              </w:rPr>
            </w:pPr>
          </w:p>
        </w:tc>
        <w:tc>
          <w:tcPr>
            <w:tcW w:w="300" w:type="dxa"/>
            <w:vAlign w:val="bottom"/>
            <w:tcBorders>
              <w:top w:val="single" w:sz="8" w:color="CCFFCC"/>
            </w:tcBorders>
            <w:shd w:val="clear" w:color="auto" w:fill="CCFFCC"/>
          </w:tcPr>
          <w:p>
            <w:pPr>
              <w:spacing w:after="0"/>
              <w:rPr>
                <w:sz w:val="13"/>
                <w:szCs w:val="13"/>
                <w:color w:val="auto"/>
              </w:rPr>
            </w:pPr>
          </w:p>
        </w:tc>
        <w:tc>
          <w:tcPr>
            <w:tcW w:w="500" w:type="dxa"/>
            <w:vAlign w:val="bottom"/>
            <w:tcBorders>
              <w:top w:val="single" w:sz="8" w:color="CCFFCC"/>
            </w:tcBorders>
            <w:shd w:val="clear" w:color="auto" w:fill="CCFFCC"/>
          </w:tcPr>
          <w:p>
            <w:pPr>
              <w:spacing w:after="0"/>
              <w:rPr>
                <w:sz w:val="13"/>
                <w:szCs w:val="13"/>
                <w:color w:val="auto"/>
              </w:rPr>
            </w:pPr>
          </w:p>
        </w:tc>
        <w:tc>
          <w:tcPr>
            <w:tcW w:w="100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amount</w:t>
            </w:r>
          </w:p>
        </w:tc>
        <w:tc>
          <w:tcPr>
            <w:tcW w:w="244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060" w:type="dxa"/>
            <w:vAlign w:val="bottom"/>
            <w:shd w:val="clear" w:color="auto" w:fill="CCFFCC"/>
          </w:tcPr>
          <w:p>
            <w:pPr>
              <w:spacing w:after="0"/>
              <w:rPr>
                <w:sz w:val="22"/>
                <w:szCs w:val="22"/>
                <w:color w:val="auto"/>
              </w:rPr>
            </w:pPr>
          </w:p>
        </w:tc>
        <w:tc>
          <w:tcPr>
            <w:tcW w:w="120" w:type="dxa"/>
            <w:vAlign w:val="bottom"/>
            <w:tcBorders>
              <w:right w:val="single" w:sz="8" w:color="auto"/>
            </w:tcBorders>
            <w:shd w:val="clear" w:color="auto" w:fill="CCFFCC"/>
          </w:tcPr>
          <w:p>
            <w:pPr>
              <w:spacing w:after="0"/>
              <w:rPr>
                <w:sz w:val="22"/>
                <w:szCs w:val="22"/>
                <w:color w:val="auto"/>
              </w:rPr>
            </w:pPr>
          </w:p>
        </w:tc>
        <w:tc>
          <w:tcPr>
            <w:tcW w:w="620" w:type="dxa"/>
            <w:vAlign w:val="bottom"/>
            <w:gridSpan w:val="2"/>
            <w:shd w:val="clear" w:color="auto" w:fill="CCFFCC"/>
          </w:tcPr>
          <w:p>
            <w:pPr>
              <w:jc w:val="right"/>
              <w:ind w:right="2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635,000</w:t>
            </w:r>
          </w:p>
        </w:tc>
        <w:tc>
          <w:tcPr>
            <w:tcW w:w="500" w:type="dxa"/>
            <w:vAlign w:val="bottom"/>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FFCC"/>
              <w:bottom w:val="single" w:sz="8" w:color="CCFFCC"/>
            </w:tcBorders>
            <w:gridSpan w:val="3"/>
            <w:vMerge w:val="restart"/>
          </w:tcPr>
          <w:p>
            <w:pPr>
              <w:ind w:left="140"/>
              <w:spacing w:after="0"/>
              <w:rPr>
                <w:sz w:val="20"/>
                <w:szCs w:val="20"/>
                <w:color w:val="auto"/>
              </w:rPr>
            </w:pPr>
            <w:r>
              <w:rPr>
                <w:rFonts w:ascii="Arial" w:cs="Arial" w:eastAsia="Arial" w:hAnsi="Arial"/>
                <w:sz w:val="18"/>
                <w:szCs w:val="18"/>
                <w:color w:val="auto"/>
              </w:rPr>
              <w:t>Value of equipment and software received from Earthbound</w:t>
            </w:r>
          </w:p>
        </w:tc>
        <w:tc>
          <w:tcPr>
            <w:tcW w:w="1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200" w:type="dxa"/>
            <w:vAlign w:val="bottom"/>
            <w:tcBorders>
              <w:top w:val="single" w:sz="8" w:color="CCFFCC"/>
              <w:bottom w:val="single" w:sz="8" w:color="CCFFCC"/>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bottom w:val="single" w:sz="8" w:color="CCFFCC"/>
            </w:tcBorders>
            <w:vMerge w:val="restart"/>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Borders>
              <w:bottom w:val="single" w:sz="8" w:color="CCFFCC"/>
            </w:tcBorders>
            <w:gridSpan w:val="3"/>
            <w:vMerge w:val="continue"/>
          </w:tcPr>
          <w:p>
            <w:pPr>
              <w:spacing w:after="0"/>
              <w:rPr>
                <w:sz w:val="17"/>
                <w:szCs w:val="17"/>
                <w:color w:val="auto"/>
              </w:rPr>
            </w:pPr>
          </w:p>
        </w:tc>
        <w:tc>
          <w:tcPr>
            <w:tcW w:w="106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right w:val="single" w:sz="8" w:color="auto"/>
            </w:tcBorders>
          </w:tcPr>
          <w:p>
            <w:pPr>
              <w:spacing w:after="0"/>
              <w:rPr>
                <w:sz w:val="17"/>
                <w:szCs w:val="17"/>
                <w:color w:val="auto"/>
              </w:rPr>
            </w:pPr>
          </w:p>
        </w:tc>
        <w:tc>
          <w:tcPr>
            <w:tcW w:w="200" w:type="dxa"/>
            <w:vAlign w:val="bottom"/>
            <w:tcBorders>
              <w:bottom w:val="single" w:sz="8" w:color="CCFFCC"/>
            </w:tcBorders>
            <w:vMerge w:val="continue"/>
          </w:tcPr>
          <w:p>
            <w:pPr>
              <w:spacing w:after="0"/>
              <w:rPr>
                <w:sz w:val="17"/>
                <w:szCs w:val="17"/>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71,000</w:t>
            </w:r>
          </w:p>
        </w:tc>
        <w:tc>
          <w:tcPr>
            <w:tcW w:w="300" w:type="dxa"/>
            <w:vAlign w:val="bottom"/>
            <w:tcBorders>
              <w:bottom w:val="single" w:sz="8" w:color="CCFFCC"/>
            </w:tcBorders>
            <w:vMerge w:val="continue"/>
          </w:tcPr>
          <w:p>
            <w:pPr>
              <w:spacing w:after="0"/>
              <w:rPr>
                <w:sz w:val="17"/>
                <w:szCs w:val="17"/>
                <w:color w:val="auto"/>
              </w:rPr>
            </w:pPr>
          </w:p>
        </w:tc>
        <w:tc>
          <w:tcPr>
            <w:tcW w:w="500" w:type="dxa"/>
            <w:vAlign w:val="bottom"/>
            <w:tcBorders>
              <w:bottom w:val="single" w:sz="8" w:color="CCFFCC"/>
            </w:tcBorders>
          </w:tcPr>
          <w:p>
            <w:pPr>
              <w:spacing w:after="0"/>
              <w:rPr>
                <w:sz w:val="17"/>
                <w:szCs w:val="17"/>
                <w:color w:val="auto"/>
              </w:rPr>
            </w:pPr>
          </w:p>
        </w:tc>
        <w:tc>
          <w:tcPr>
            <w:tcW w:w="10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Assumed capitalized lease obligation</w:t>
            </w:r>
          </w:p>
        </w:tc>
        <w:tc>
          <w:tcPr>
            <w:tcW w:w="244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CCFFCC"/>
            </w:tcBorders>
            <w:shd w:val="clear" w:color="auto" w:fill="CCFFCC"/>
          </w:tcPr>
          <w:p>
            <w:pPr>
              <w:spacing w:after="0"/>
              <w:rPr>
                <w:sz w:val="19"/>
                <w:szCs w:val="19"/>
                <w:color w:val="auto"/>
              </w:rPr>
            </w:pPr>
          </w:p>
        </w:tc>
        <w:tc>
          <w:tcPr>
            <w:tcW w:w="10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right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24,000</w:t>
            </w:r>
          </w:p>
        </w:tc>
        <w:tc>
          <w:tcPr>
            <w:tcW w:w="300" w:type="dxa"/>
            <w:vAlign w:val="bottom"/>
            <w:tcBorders>
              <w:bottom w:val="single" w:sz="8" w:color="CCFFCC"/>
            </w:tcBorders>
            <w:shd w:val="clear" w:color="auto" w:fill="CCFFCC"/>
          </w:tcPr>
          <w:p>
            <w:pPr>
              <w:spacing w:after="0"/>
              <w:rPr>
                <w:sz w:val="19"/>
                <w:szCs w:val="19"/>
                <w:color w:val="auto"/>
              </w:rPr>
            </w:pPr>
          </w:p>
        </w:tc>
        <w:tc>
          <w:tcPr>
            <w:tcW w:w="50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6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6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w w:val="97"/>
              </w:rPr>
              <w:t>Cash paid during the period for income taxes</w:t>
            </w:r>
          </w:p>
        </w:tc>
        <w:tc>
          <w:tcPr>
            <w:tcW w:w="28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62,000</w:t>
            </w:r>
          </w:p>
        </w:tc>
        <w:tc>
          <w:tcPr>
            <w:tcW w:w="6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tcBorders>
              <w:top w:val="single" w:sz="8" w:color="CCFFCC"/>
              <w:bottom w:val="single" w:sz="8" w:color="CCFFCC"/>
            </w:tcBorders>
            <w:shd w:val="clear" w:color="auto" w:fill="CCFFCC"/>
          </w:tcPr>
          <w:p>
            <w:pPr>
              <w:ind w:left="140"/>
              <w:spacing w:after="0" w:line="190" w:lineRule="exact"/>
              <w:rPr>
                <w:sz w:val="20"/>
                <w:szCs w:val="20"/>
                <w:color w:val="auto"/>
              </w:rPr>
            </w:pPr>
            <w:r>
              <w:rPr>
                <w:rFonts w:ascii="Arial" w:cs="Arial" w:eastAsia="Arial" w:hAnsi="Arial"/>
                <w:sz w:val="18"/>
                <w:szCs w:val="18"/>
                <w:color w:val="auto"/>
              </w:rPr>
              <w:t>Cash paid during the period for interest</w:t>
            </w:r>
          </w:p>
        </w:tc>
        <w:tc>
          <w:tcPr>
            <w:tcW w:w="2440" w:type="dxa"/>
            <w:vAlign w:val="bottom"/>
            <w:tcBorders>
              <w:top w:val="single" w:sz="8" w:color="CCFFCC"/>
              <w:bottom w:val="single" w:sz="8" w:color="CCFFCC"/>
            </w:tcBorders>
            <w:shd w:val="clear" w:color="auto" w:fill="CCFFCC"/>
          </w:tcPr>
          <w:p>
            <w:pPr>
              <w:spacing w:after="0"/>
              <w:rPr>
                <w:sz w:val="17"/>
                <w:szCs w:val="17"/>
                <w:color w:val="auto"/>
              </w:rPr>
            </w:pPr>
          </w:p>
        </w:tc>
        <w:tc>
          <w:tcPr>
            <w:tcW w:w="440" w:type="dxa"/>
            <w:vAlign w:val="bottom"/>
            <w:tcBorders>
              <w:top w:val="single" w:sz="8" w:color="auto"/>
              <w:bottom w:val="single" w:sz="8" w:color="auto"/>
            </w:tcBorders>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1,243,000</w:t>
            </w:r>
          </w:p>
        </w:tc>
        <w:tc>
          <w:tcPr>
            <w:tcW w:w="12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420" w:type="dxa"/>
            <w:vAlign w:val="bottom"/>
            <w:tcBorders>
              <w:top w:val="single" w:sz="8" w:color="auto"/>
              <w:bottom w:val="single" w:sz="8" w:color="auto"/>
            </w:tcBorders>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129,000</w:t>
            </w:r>
          </w:p>
        </w:tc>
        <w:tc>
          <w:tcPr>
            <w:tcW w:w="300" w:type="dxa"/>
            <w:vAlign w:val="bottom"/>
            <w:tcBorders>
              <w:top w:val="single" w:sz="8" w:color="CCFFCC"/>
              <w:bottom w:val="single" w:sz="8" w:color="CCFFCC"/>
            </w:tcBorders>
            <w:shd w:val="clear" w:color="auto" w:fill="CCFFCC"/>
          </w:tcPr>
          <w:p>
            <w:pPr>
              <w:spacing w:after="0"/>
              <w:rPr>
                <w:sz w:val="17"/>
                <w:szCs w:val="17"/>
                <w:color w:val="auto"/>
              </w:rPr>
            </w:pPr>
          </w:p>
        </w:tc>
        <w:tc>
          <w:tcPr>
            <w:tcW w:w="500" w:type="dxa"/>
            <w:vAlign w:val="bottom"/>
            <w:tcBorders>
              <w:top w:val="single" w:sz="8" w:color="auto"/>
              <w:bottom w:val="single" w:sz="8" w:color="auto"/>
            </w:tcBorders>
            <w:shd w:val="clear" w:color="auto" w:fill="CCFFC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175,000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BASIS OF PRESENTATION AND REVERSE ACQUISITION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Xcel Brands, Inc. ("XCel", “we”, “our” or the "Company") engages in the design, licensing, and marketing and promotion of the Isaac Mizrahi brands with a focus on a variety of product categories featuring the “Isaac Mizrahi” brands including the trademarks and brands “Isaac Mizrahi New York”, “Isaac Mizrahi”, “IsaacMizrahiLIVE”, Isaac Mizrahi Jeans, and “M” (collectively, the “IM Trademarks”), and the design, marketing and promotion of the Liz Claiborne New York brand (the “LCNY Brand”) with a focus on a variety of product categories under the LCNY Brand sold exclusively through QVC, Inc. (“QVC”).</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29, 2011 (the “Closing Date”), the Company, Xcel Brands, Inc., a privately held Delaware corporation (“Old XCel”), Netfabric Acquisition Corp., a Delaware corporation (“Acquisition Corp.”) and wholly-owned subsidiary of the Company, and certain stockholders of the Company entered into an Agreement of Merger and Plan of Reorganization pursuant to which Acquisition Corp. was merged with and into Old XCel, with Old XCel surviving as a wholly-owned subsidiary of the Company (the “Merger” or “Transaction”). This resulted in the prior owners of Old XCel (the "accounting acquirer") having actual or effective operating control of the Company after the transaction, with the shareholders of NetFabrics (the "legal acquirer") continuing only as passive investors. No goodwill was recognized since Net Fabrics was a Shell Company.</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Also in connection with the Merger and related transactions, the Company acquired from IM Ready-Made, LLC (“IM Ready”) (i) the IM Trademarks, (ii) the license agreements related to the IM Trademarks including a license agreement with QVC (the “QVC Agreement”), (iii) design agreements with Fifth &amp; Pacific Companies, Inc. (formerly Liz Claiborne, Inc.)(“FNP”) (the “LCNY Agreement”) and QVC (the “Design Agreement”) to design the LCNY Brand for sale exclusively at QVC and (iv) computers, design software, and other assets related to the licensing and design of the IM Trademarks and the design of the LCNY Brand (together with the IM Trademarks, the LCNY Agreement, the Design Agreement, and all related license agreements the “Isaac Mizrahi Business”). The Transaction was accounted for as a business combination, whereby the purchase price paid to effect the Transaction was allocated to record acquired assets and assumed liabilities at their fair value as of the acquisition date.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the Company had limited operations prior to the Merger, the Isaac Mizrahi Business was deemed to be the Predecessor of the Company for financial statement presentation purposes. Accordingly, the accompanying financial statements designate periods preceding the Transaction as relating to the Predecessor and all references to periods after September 29, 2011 (the “Transaction Date”) shall be referred to as relating to the Successor.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the accounts of Xcel Brands, Inc. and its wholly owned subsidiaries. The consolidated financial statements have been prepared in accordance with accounting principles generally accepted in the United States of America (“U.S. GAAP”) and in accordance with the Securities and Exchange Commission’s (the “SEC”) accounting rules under Regulation S-X. All material intercompany accounts and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Presentation of Predecessor Financial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covered by the Predecessor have been prepared for the purpose of complying with the rules and regulations of the U.S. Securities and Exchange Commission. The Isaac Mizrahi Business operated by the Predecessor prior to the Merger (the “Licensing Business”) is not a separate legal entity, thus the financial statements of the Licensing Business are not necessarily indicative of the results of operations that would have occurred if the Licensing Business had been operated as a separate legal entity.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allocations and estimates in the accompanying Predecessor financial statements are based on assumptions that IM Ready and XCel management (collectively “predecessor management”) believe are reasonable, and reasonably approximate the historical costs that the Licensing Business would have incurred as a separate entity. However, these allocations and estimates are not necessarily indicative of the costs and expenses that would have resulted if the Licensing Business had been operated as a separate entity. The allocation of expenses were made to comply with the guidance provided by Staff Accounting Bulletin Topic 1B1, “Allocation of Expenses and Related Disclosure in Financial Statements of Subsidiaries, Divisions or Lesser Business Components of another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year. Actual results could be affected by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certain of the Company’s financial instruments, including cash and cash equivalents, accounts receivable, accounts payable, accrued expenses and other current liabilities, the carrying amounts approximate fair value due to the short-term maturities of these instruments. The carrying value of the debt approximates fair value because the fixed interest rate approximates market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w:t>
      </w:r>
      <w:r>
        <w:rPr>
          <w:rFonts w:ascii="Arial" w:cs="Arial" w:eastAsia="Arial" w:hAnsi="Arial"/>
          <w:sz w:val="18"/>
          <w:szCs w:val="18"/>
          <w:color w:val="auto"/>
        </w:rPr>
        <w:t>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Financial Standards Accounting Board’s accounting standard codification (“ASC”) Subtopic 820-10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Level 3 – unobservable inputs that reflect our assumptions that market participants would use in pricing assets or liabilities based on the best information available. The Company’s earn-out obligation (detailed in Note 5, Debt) is based upon projected revenues as defined in the Transaction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represent amounts that are due to the Company by its licensees and other operating account debtors in the normal course of business. As of December 31, 2012 the Company has $3,428,000 of accounts receivables, net of allowance for doubtful accounts of $25,000, which is deemed sufficient by Management. As of December 31, 2011 the Company had $2,191,000 of accounts receivable, net of allowance for doubtful accounts of $0, of which the entire amount was collected during 2012. The accounts receivable balance includes $699,000 and $377,000 of earned revenue that has been accrued but not billed as of December 31, 2012 and December 31, 2011,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Furniture, equipment and software are recorded at cost and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ASC Topic 350” for Intangibles, Goodwill, and Other. Under this standard, goodwill and indefinite lived assets are not amortized. The Company’s definite lived intangible assets are amortized over their estimated useful lives of four years.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this standard, the Company annually has the option to first assess qualitatively whether it is more likely than not that there is an impairment. The Company completed its annual qualitative assessment and a separate quantitative analysis of its trademarks, other intangibles and goodwill at December 31, 2012 and determined that no further analysis or impairment charges were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incurred in connection with debt issued is deferred and amortized as interest expense over the term of the related debt using the effective interest method. The amortization expense is included in interest expense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continues to analyze and quantify the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unrecognized tax benefits as of December 31, 2012 and December 31, 2011. The Company’s U.S. Federal, state and local income tax returns are closed prior to fiscal year 2009 and management continually evaluates expiring statues of limitations, audits, proposed settlements, changes in tax law and new authoritative rulings.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applicable, the Company would recognize interest and penalties associated with tax matters as part of the income tax provision, and include accrued interest and penalties with accrued expenses in the consolidated balance sheets.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 when persuasive evidence of a sale arrangement exists, delivery has occurred and services have been rendered, the sales price is fixed and determinable, and collectability is reasonable assured. The Company has two types of revenues: (i) royalties based on the sale of products by its licensees or other contractual partners, and (ii) design and service fees based on services provided. Revenues from royalties are recognized when earned, which includes guaranteed minimum royalties, if any, and additional revenues based on a percentage of sales by our licensees or other contractual partners for each period as defined in each license agreement. Royalties exceeding the guaranteed minimum amounts are recognized as income during the period that corresponds to the licensee’s or partner’s sales.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Design and service fees are recorded and recognized in accordance with the terms and conditions of each design fee contract, including the Company meeting its obligations and providing the relevant services under each contract. Generally, we record on a straight line basis each base fee as stated in each design fee service agreement for the covered period and, if applicable, we recognize additional payments received that are related to a future period as deferred revenue, until service is provided or revenue is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instruments which potentially subject us to concentrations of credit risk consist principally of cash and cash equivalents, and accounts receivable. We limit our credit risk with respect to cash by maintaining cash balances with quality financial institutions. At times our cash and cash equivalents may exceed federally insured limits. Concentrations of credit risk with respect to accounts receivable are minimal due to the limited amount of outstanding receivables and due to the nature of our royalty revenues. Generally, we do not require collateral or other security to support accounts receivables.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QVC Agreement, the Company designs, and QVC sources and sells, various products under the “IsaacMizrahiLIVE” brand. The IsaacMizrahiLIVE licensing program launched on QVC in 2010, and includes the sale of products across various categories including apparel, footwear, handbags, accessories, kitchen, soft home, and food through QVC’s television media and related internet sites primarily in the United States. The initial term of the QVC Agreement continues through September 30, 2015, and renews automatically for successive one-year periods unless terminated by either party. Under the QVC Agreement, QVC pays the Company fees based primarily on a percentage of QVC's net sales of Isaac Mizrahi branded merchandise. The QVC Agreement also requires that the Company pay to QVC (and/or IM Ready as assignee from QVC), a percentage of the Company’s net royalty revenue from its other licenses related to the IM Brands. Revenues from QVC were approximately $7.7 million for the year ended December 31 2012, representing 59% of the Company’s total revenues. QVC revenues were approximately $1.9 million and $5.4 million for the period from September 29, 2011 to December 31, 2011 (the Successor period) and for the period from January 1, 2011 to September 28, 2011 (the Predecessor periods), respectively, which represents 67% and 62% of total revenues for the Isaac Mizrahi Business, respectively. As of December 31, 2012 and December 31, 2011, the Company had a receivable from QVC in the amount of $1.9 million and $1.8 million representing 55% and 82% of the Company’s account receivable,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LCNY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acquisition of the Isaac Mizrahi Business, the Company assumed and entered into an amended and restated agreement with FNP dated September 29, 2011, which was amended on January 25, 2013 (collectively the “LCNY Agreement”). Pursuant to the LCNY Agreement, the Company provides design services to FNP for the “Liz Claiborne New York” brand, which is sold exclusively through QVC. The initial term of the LCNY Agreement continues through July 31, 2013, after which there is an initial renewal term through July 31, 2016, followed by four one-year renewal terms through July 31, 2020, unless otherwise terminated based on the terms of the FNP License Agreement. Under the LCNY Agreement, FNP pays the Company royalties based on a percentage of royalties FNP receives from QVC under a separate license agreement between FNP and QVC (the “FNP License Agreement”). Revenues under the LCNY Agreement totaled approximately $1.7 million for the year ended December 31, 2012, representing approximately 13% of the Company’s total revenues. For the period from September 29, 2011 to December 31, 2011 and the period from January 1, 2011 to September 28, 2011 revenues under the LCNY Agreement totaled approximately $0.4 million and $2.5 million, respectively, representing 13% and 28% of the Company’s total revenues, respectively. The revenues during the Predecessor period includes amortized revenue of $1.7 million for the period from January 1, 2011 to September 28, 2011 that relates to a one-time fee of $9,000,000 that the Predecessor received from FNP in 2009, which was recorded as a deferred royalty payment by the Predecessor. As of December 31, 2012 and December 31, 2011, the Company had a receivable from FNP relating to revenues earned by the Company but not yet due from FNP in the amount of $0.7 million and $0.4 million representing 20% and 18% of the Company’s receivables,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accounts for stock-based compensation in accordance with ASC Topic 718, Stock Compensation, by recognizing the fair value of stock-based compensation in the consolidated statement of operations. Stock-based compensation can include stock options and restricted stock grants.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xml:space="preserve"> - The fair value of the Company’s stock option awards are estimated using the Black-Scholes option valuation model. This model requires the input of highly subjective assumptions and elections including expected stock price volatility and the estimated life of each award (The calculation of compensation costs requires that the Company estimate the number of awards that will be forfeited during the vesting period). The fair value of stock options is amortized over the service period of the awards.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u w:val="single" w:color="auto"/>
          <w:color w:val="auto"/>
        </w:rPr>
        <w:t>Restricted Stock -</w:t>
      </w:r>
      <w:r>
        <w:rPr>
          <w:rFonts w:ascii="Arial" w:cs="Arial" w:eastAsia="Arial" w:hAnsi="Arial"/>
          <w:sz w:val="16"/>
          <w:szCs w:val="16"/>
          <w:color w:val="auto"/>
        </w:rPr>
        <w:t xml:space="preserve"> Compensation cost for restricted stock is measured using the fair value of the Company’s common stock at the date the common stock is granted. The compensation cost is recognized over the period between the grant date and the date any restrictions lapse. For stock-based awards that vest based on performance conditions (e.g. achievement of certain milestones), expense is recognized when it is probable that the condition will be met.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All costs associated with production for the Company’s advertising campaigns are expensed during the periods when the activities take place. All other advertising costs such as print and online media are expensed when the advertisement occurs. The Company incurred no advertising costs for the year ended December 31, 2012 and the period September 29, 2011 to December 31, 2011,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Total rent payments under operating leases that include scheduled payment increases and rent holidays are amortized on a straight-line basis over the term of the lease. Landlord allowances are amortized by the straight-line method over the term of the lease as a reduction of rent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per share excludes dilution and is computed by dividing net income (or loss) available to common stockholders by the weighted average number of common shares outstanding for the period. Diluted earnings per share reflect, in periods in which they have a dilutive effect, the effect of common shares issuable upon the exercise of stock options and warrants. The difference between basic and diluted weighted-average common shares results from the assumption that all dilutive stock options, warrants and restricted stock outstanding were exercised into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July 2012, the FASB issued ASU 2012-02, </w:t>
      </w:r>
      <w:r>
        <w:rPr>
          <w:rFonts w:ascii="Arial" w:cs="Arial" w:eastAsia="Arial" w:hAnsi="Arial"/>
          <w:sz w:val="17"/>
          <w:szCs w:val="17"/>
          <w:i w:val="1"/>
          <w:iCs w:val="1"/>
          <w:color w:val="auto"/>
        </w:rPr>
        <w:t>“Intangibles—Goodwill and Other (Topic 350): Testing Indefinite-Lived Intangible Assets for Impairment.”</w:t>
      </w:r>
      <w:r>
        <w:rPr>
          <w:rFonts w:ascii="Arial" w:cs="Arial" w:eastAsia="Arial" w:hAnsi="Arial"/>
          <w:sz w:val="17"/>
          <w:szCs w:val="17"/>
          <w:color w:val="auto"/>
        </w:rPr>
        <w:t xml:space="preserve"> ASU 2012-02 simplifies the guidance for testing the decline in the realizable value (impairment) of indefinite-lived intangible assets other than goodwill. Examples of intangible assets subject to the guidance include indefinite-lived trademarks, licenses, and distribution rights. The standard applies to all public, private, and not-for-profit organizations. The amendments in this update are effective for annual and interim impairment tests performed for fiscal years beginning after September 15, 2012, with early adoption permitted. The Company did early adopt. The adoption of ASU No. 2012-02 did not have a material impact on the Company’s results of operations or the Company’s consolidated financial position.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the Company’s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3. Trademarks, Goodwill and Other Intangibles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3"/>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w w:val="91"/>
              </w:rPr>
              <w:t>December 31, 2012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auto"/>
                <w:w w:val="94"/>
              </w:rPr>
              <w:t>December 31, 2011</w:t>
            </w:r>
          </w:p>
        </w:tc>
        <w:tc>
          <w:tcPr>
            <w:tcW w:w="0" w:type="dxa"/>
            <w:vAlign w:val="bottom"/>
          </w:tcPr>
          <w:p>
            <w:pPr>
              <w:spacing w:after="0"/>
              <w:rPr>
                <w:sz w:val="1"/>
                <w:szCs w:val="1"/>
                <w:color w:val="auto"/>
              </w:rPr>
            </w:pPr>
          </w:p>
        </w:tc>
      </w:tr>
      <w:tr>
        <w:trPr>
          <w:trHeight w:val="210"/>
        </w:trPr>
        <w:tc>
          <w:tcPr>
            <w:tcW w:w="8180" w:type="dxa"/>
            <w:vAlign w:val="bottom"/>
            <w:tcBorders>
              <w:top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Trademarks</w:t>
            </w:r>
          </w:p>
        </w:tc>
        <w:tc>
          <w:tcPr>
            <w:tcW w:w="16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44,500,000</w:t>
            </w: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44,500,000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81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Accumulated amortization, licensing agreements</w:t>
            </w:r>
          </w:p>
        </w:tc>
        <w:tc>
          <w:tcPr>
            <w:tcW w:w="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60" w:type="dxa"/>
            <w:vAlign w:val="bottom"/>
            <w:gridSpan w:val="4"/>
            <w:shd w:val="clear" w:color="auto" w:fill="CCFFCC"/>
          </w:tcPr>
          <w:p>
            <w:pPr>
              <w:jc w:val="right"/>
              <w:ind w:right="77"/>
              <w:spacing w:after="0"/>
              <w:rPr>
                <w:sz w:val="20"/>
                <w:szCs w:val="20"/>
                <w:color w:val="auto"/>
              </w:rPr>
            </w:pPr>
            <w:r>
              <w:rPr>
                <w:rFonts w:ascii="Arial" w:cs="Arial" w:eastAsia="Arial" w:hAnsi="Arial"/>
                <w:sz w:val="18"/>
                <w:szCs w:val="18"/>
                <w:color w:val="auto"/>
              </w:rPr>
              <w:t>(665,000)</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34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23"/>
        </w:trPr>
        <w:tc>
          <w:tcPr>
            <w:tcW w:w="8180" w:type="dxa"/>
            <w:vAlign w:val="bottom"/>
            <w:gridSpan w:val="3"/>
          </w:tcPr>
          <w:p>
            <w:pPr>
              <w:spacing w:after="0"/>
              <w:rPr>
                <w:sz w:val="20"/>
                <w:szCs w:val="20"/>
                <w:color w:val="auto"/>
              </w:rPr>
            </w:pPr>
            <w:r>
              <w:rPr>
                <w:rFonts w:ascii="Arial" w:cs="Arial" w:eastAsia="Arial" w:hAnsi="Arial"/>
                <w:sz w:val="18"/>
                <w:szCs w:val="18"/>
                <w:color w:val="auto"/>
              </w:rPr>
              <w:t>Net carrying amount</w:t>
            </w: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45,835,000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46,364,000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w w:val="96"/>
              </w:rPr>
              <w:t>The following table presents amortization expense for Licensing Agreements over the remaining useful life:</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178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600" w:type="dxa"/>
            <w:vAlign w:val="bottom"/>
            <w:gridSpan w:val="2"/>
          </w:tcPr>
          <w:p>
            <w:pPr>
              <w:ind w:left="3220"/>
              <w:spacing w:after="0"/>
              <w:rPr>
                <w:sz w:val="20"/>
                <w:szCs w:val="20"/>
                <w:color w:val="auto"/>
              </w:rPr>
            </w:pPr>
            <w:r>
              <w:rPr>
                <w:rFonts w:ascii="Arial" w:cs="Arial" w:eastAsia="Arial" w:hAnsi="Arial"/>
                <w:sz w:val="18"/>
                <w:szCs w:val="18"/>
                <w:b w:val="1"/>
                <w:bCs w:val="1"/>
                <w:color w:val="auto"/>
              </w:rPr>
              <w:t>Year Ending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6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w w:val="94"/>
              </w:rPr>
              <w:t>Expense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December 31, 2013</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806,000</w:t>
            </w:r>
          </w:p>
        </w:tc>
        <w:tc>
          <w:tcPr>
            <w:tcW w:w="2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529,000</w:t>
            </w: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December 31, 2015</w:t>
            </w: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277,000</w:t>
            </w: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for the year ended December 31, 2012 and the period from September 29, 2011 to December 31, 2011 is $529,000 and $136,000, respectively. Amortization expense for the Predecessor Periods was nil. The IM Trademarks and related goodwill have been determined to have an indefinite useful life and accordingly, consistent with ASC Topic 350, no amortization has been recorded in the Company's consolidated statements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Company’s acquisition of the Isaac Mizrahi Business, the Company recognized $12,371,000 of goodwill that represents the excess of the purchase price over the fair value of net assets acquired accounted for under the acquisition method of accounting. There was no change in goodwill during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4. Acquisition of the Isaac Mizrahi Business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19, 2011, Xcel Brands, Inc. entered into an asset purchase agreement, as amended (the “Purchase Agreement”), with IM Ready, Isaac Mizrahi and Marisa Gardini, pursuant to which the Buyers acquired certain assets of IM Ready, including (i) the “Isaac Mizrahi” brands (including the trademarks and brands “Isaac Mizrahi New York”, “Isaac Mizrahi”, “IsaacMizrahiLIVE” and “M”) (collectively, the “IM Trademarks”), (ii) the license agreements between IM Ready and certain third parties related to the IM Trademarks including the QVC Agreement (together with the IM Trademarks, the “Isaac Mizrahi Business”), (iii) design agreements with FNP (the LCNY Agreement) and QVC (the Design Agreement) to design the “Liz Claiborne New York” brand for sale exclusively at QVC, (iv) computers, design software, and assumption of the operating lease and the related leasehold improvements related to the licensing and design of the IM Trademarks and the design of the Liz Claiborne New York brand and (v) proprietary designs and design process, trade dress, trade names, personal names, images and likenesses, product configuration, corporate names, logos, insignias and slogans and internet domain names, internet websites, and URL’s internet and phone applications and systems. The parties consummated the asset purchase contemplated by the Purchase Agreement on September 29, 2011.</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an agreement between IM Ready and Earthbound, a design and licensing company (the “Earthbound Agreement”), Earthbound had certain rights related to the IM Trademarks and provided certain design services for IM Ready. In connection with the consummation of the acquisition by the Company of the Isaac Mizrahi Business, XCel and Earthbound entered into a contribution agreement (the “Contribution Agreement”) pursuant to which, on the Closing Date, Earthbound contributed to the Company (i) the Earthbound Agreement and (ii) certain assets relating to the operation of the Isaac Mizrahi Business in exchange for 944,688 shares of Common Stock and also purchased one (1) Unit in the Offering (as defined in Note 6 below). The closing of the acquisition of the Isaac Mizrahi Business and Earthbound Assets occurred in conjunction with the consummation of the Merger, after which the Company terminated the Earthbound Agreement. Earthbound contributed to the Company, the Earthbound Agreement and certain assets in exchange for 944,688 shares of the Company’s Common Stock valued at $3,155,000 based on the Effective Share Purchase Price.</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the Purchase Agreement, at the closing, the Company delivered (i) to IM Ready (a) $9,674,000 in cash, (b) a promissory note (the “Seller Note”) in the principal amount of $7,377,000 and (c) 2,759,000 shares of common stock of the Company (the “IM Ready Stock Consideration”), and (ii) to an escrow agent $500,000 that the escrow agent paid to IM Ready upon resolution of certain obligations of IM Ready and Mizrahi (together, the “Closing Consideration”). The Company also pre-paid $123,000 of interest on the Seller Note on the Closing Date and registered 1,200,000 of the shares of the IM Ready Stock Consideration in the registration statement which the Company filed with the Securities and Exchange Commission on June 27,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XCel was deemed to be the accounting acquirer of the Isaac Mizrahi Business based on various qualitative and quantitative factors including:</w:t>
      </w:r>
    </w:p>
    <w:p>
      <w:pPr>
        <w:spacing w:after="0" w:line="23" w:lineRule="exact"/>
        <w:rPr>
          <w:sz w:val="20"/>
          <w:szCs w:val="20"/>
          <w:color w:val="auto"/>
        </w:rPr>
      </w:pPr>
    </w:p>
    <w:p>
      <w:pPr>
        <w:ind w:left="1040" w:hanging="316"/>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of XCel accounts for substantially all of the management of the combined entities. The CEO, CFO, COO and Secretary all continue in the combined entity.</w:t>
      </w:r>
    </w:p>
    <w:p>
      <w:pPr>
        <w:ind w:left="1040" w:hanging="316"/>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Seven members compose the board of directors. All members were selected by XCel, including one director who was a principal of IM Ready and director who was a principal of Earthbound.</w:t>
      </w:r>
    </w:p>
    <w:p>
      <w:pPr>
        <w:jc w:val="both"/>
        <w:ind w:left="1040" w:hanging="316"/>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 Ready granted a proxy to the Company’s board of directors to vote its stock in accordance with the recommendation of the board of directors and Robert W. D’Loren, who was Chairman of the board of directors of XCel and has been designated by the Company’s board of directors to exercise such proxy.</w:t>
      </w:r>
    </w:p>
    <w:p>
      <w:pPr>
        <w:spacing w:after="0" w:line="1" w:lineRule="exact"/>
        <w:rPr>
          <w:rFonts w:ascii="Arial" w:cs="Arial" w:eastAsia="Arial" w:hAnsi="Arial"/>
          <w:sz w:val="18"/>
          <w:szCs w:val="18"/>
          <w:color w:val="auto"/>
        </w:rPr>
      </w:pPr>
    </w:p>
    <w:p>
      <w:pPr>
        <w:ind w:left="1040" w:hanging="31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XCel management as a group makes up the largest minority voting group. There is no majority stockholder.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 xml:space="preserve">The Company accounts for purchase of the Isaac Mizrahi Business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total purchase consideration is allocated to certain net tangible and identifiable intangible assets acquired, and liabilities assumed,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estimated fair values as of September 29, 2011.</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The purchase price for the acquisition is being allocated as follows: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Components of purchase price:</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Cash paid at closing</w:t>
            </w:r>
          </w:p>
        </w:tc>
        <w:tc>
          <w:tcPr>
            <w:tcW w:w="136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9,674,000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deposited with escrow agent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3,703,688 shares of common stock of the Company valued at $3.34 per share</w:t>
            </w:r>
          </w:p>
        </w:tc>
        <w:tc>
          <w:tcPr>
            <w:tcW w:w="9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12,370,000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Seller Note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7,377,000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Seller Note discount (See Note 5, Debt)</w:t>
            </w:r>
          </w:p>
        </w:tc>
        <w:tc>
          <w:tcPr>
            <w:tcW w:w="9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(1,740,000)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Contingent obligations – Due to Seller</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17,766,000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Long term installment obligation (Earthbound) (See Note 5, Debt)</w:t>
            </w:r>
          </w:p>
        </w:tc>
        <w:tc>
          <w:tcPr>
            <w:tcW w:w="9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1,132,000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64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Seller Licensee obligation assumed and paid at closing</w:t>
            </w:r>
          </w:p>
        </w:tc>
        <w:tc>
          <w:tcPr>
            <w:tcW w:w="920" w:type="dxa"/>
            <w:vAlign w:val="bottom"/>
            <w:tcBorders>
              <w:bottom w:val="single" w:sz="8" w:color="CCFF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4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b w:val="1"/>
                <w:bCs w:val="1"/>
                <w:color w:val="auto"/>
              </w:rPr>
              <w:t>Total purchase price</w:t>
            </w:r>
          </w:p>
        </w:tc>
        <w:tc>
          <w:tcPr>
            <w:tcW w:w="92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48,579,000</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ind w:left="160"/>
              <w:spacing w:after="0"/>
              <w:rPr>
                <w:sz w:val="20"/>
                <w:szCs w:val="20"/>
                <w:color w:val="auto"/>
              </w:rPr>
            </w:pPr>
            <w:r>
              <w:rPr>
                <w:rFonts w:ascii="Arial" w:cs="Arial" w:eastAsia="Arial" w:hAnsi="Arial"/>
                <w:sz w:val="18"/>
                <w:szCs w:val="18"/>
                <w:color w:val="auto"/>
              </w:rPr>
              <w:t>Allocation of purchase price:</w:t>
            </w: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Trademark and other related intangible assets</w:t>
            </w:r>
          </w:p>
        </w:tc>
        <w:tc>
          <w:tcPr>
            <w:tcW w:w="136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46,500,000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12,371,000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w:t>
            </w:r>
          </w:p>
        </w:tc>
        <w:tc>
          <w:tcPr>
            <w:tcW w:w="9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1,233,000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(11,525,000)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480" w:type="dxa"/>
            <w:vAlign w:val="bottom"/>
            <w:tcBorders>
              <w:top w:val="single" w:sz="8" w:color="CCFFCC"/>
              <w:bottom w:val="single" w:sz="8" w:color="CCFFCC"/>
            </w:tcBorders>
            <w:shd w:val="clear" w:color="auto" w:fill="CCFFCC"/>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920" w:type="dxa"/>
            <w:vAlign w:val="bottom"/>
            <w:tcBorders>
              <w:top w:val="single" w:sz="8" w:color="CCFFCC"/>
              <w:bottom w:val="single" w:sz="8" w:color="CCFFCC"/>
            </w:tcBorders>
            <w:shd w:val="clear" w:color="auto" w:fill="CCFFCC"/>
          </w:tcPr>
          <w:p>
            <w:pPr>
              <w:spacing w:after="0"/>
              <w:rPr>
                <w:sz w:val="19"/>
                <w:szCs w:val="19"/>
                <w:color w:val="auto"/>
              </w:rPr>
            </w:pPr>
          </w:p>
        </w:tc>
        <w:tc>
          <w:tcPr>
            <w:tcW w:w="440" w:type="dxa"/>
            <w:vAlign w:val="bottom"/>
            <w:tcBorders>
              <w:top w:val="single" w:sz="8" w:color="auto"/>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48,579,000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were valued using an income approach which capitalizes the anticipated income from the related intangible assets.. The trademarks acquired are considered to have an indefinite life and are not subject to amortization. Value allocated to contracts is amortized on a straight line basis over the estimated remaining life of the contracts.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Company’s acquisition of the Isaac Mizrahi Business, the consolidated balance sheet as of December 31, 2011 has been recast to include retrospective purchase accounting adjustments. The purchase accounting adjustments pertain to measurement period adjustments based on the final computation of the tax basis of the assets acquired by the Company related to the Isaac Mizrahi Business, as well as a change in the allocation of revenues among state and local tax jurisdictions.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effect on the consolidated balance sheets at December 31, 2011, as a result of the recast, is an increase to goodwill of $1,274,000 to $12,371,000 and an increase to the deferred tax liability, related to the acquired intangibles of $1,274,000. There is no effect on the consolidated statements of cash flows or the consolidated statements of operations for the year ended December 31, 2012 or the period from September 29, 2011 to December 31, 2011.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86" w:lineRule="auto"/>
        <w:rPr>
          <w:sz w:val="20"/>
          <w:szCs w:val="20"/>
          <w:color w:val="auto"/>
        </w:rPr>
      </w:pPr>
      <w:r>
        <w:rPr>
          <w:rFonts w:ascii="Arial" w:cs="Arial" w:eastAsia="Arial" w:hAnsi="Arial"/>
          <w:sz w:val="16"/>
          <w:szCs w:val="16"/>
          <w:color w:val="auto"/>
        </w:rPr>
        <w:t>In addition to the Closing Consideration and the escrowed funds, IM Ready will be eligible to earn additional shares of Common Stock with a value of up to $7,500,000 (the “Earn-Out Value”) each year for four consecutive years after the Closing Date, with the number of shares to be issued based upon the greater of (i) $4.50 and (ii) average stock price for the last twenty days in such period and with such earn-out payment contingent upon the Isaac Mizrahi Business achieving the “Net Royalty Income” targets set forth below during those years. The Earn-Out Value is payable solely in stock. In accordance with ASC Topic 480 "Distinguishing Liabilities from Equity", the earn-out obligation is treated as a liability in the accompanying consolidated balance sheets because of the variable number of shares payable under the agreement. Under the Purchase Agreement, “Net Royalty Income” means booked revenue for the Isaac Mizrahi Business, less the sum of advertising royalties, commissions paid to third parties, payments under royalty sharing or participation agreements, and international withholding (solely to the extent the Buyers are unable to claim a federal tax credit with respect to such international withholding) and other transfer taxes, in each case to the extent related to such booked revenue, calculated in accordance with U.S. GAAP; provided, however, that, (i) Net Royalty Income shall not include any deferred revenues recognized during the period for which Net Royalty Income is being calculated for which the Buyers have not received the related payment, and (ii) in the event of the termination of a license agreement with respect to the Isaac Mizrahi Business, the calculation of Net Royalty Income shall not include any revenue accelerated as a result of termination for which termination the Buyers have not received the related payment. The earn-out value was valued at $15,000,000 at the acquisition date of the Isaac Mizrahi Business (the “Earn-Out Obligation”). This amount was based on projected royalties during the Royalty Target Periods and the aggregate amount of earn-out consideration due for each Royalty Target Period. See Note 5, Debt for details on the changes to the Earn-Out Obligation since the Closing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rPr>
              <w:t>The Royalty Targets and percentage of the potential earn-out value are as follows: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ROYALTY</w:t>
            </w:r>
          </w:p>
        </w:tc>
        <w:tc>
          <w:tcPr>
            <w:tcW w:w="200" w:type="dxa"/>
            <w:vAlign w:val="bottom"/>
          </w:tcPr>
          <w:p>
            <w:pPr>
              <w:spacing w:after="0"/>
              <w:rPr>
                <w:sz w:val="24"/>
                <w:szCs w:val="2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EARN-OUT</w:t>
            </w:r>
          </w:p>
        </w:tc>
        <w:tc>
          <w:tcPr>
            <w:tcW w:w="0" w:type="dxa"/>
            <w:vAlign w:val="bottom"/>
          </w:tcPr>
          <w:p>
            <w:pPr>
              <w:spacing w:after="0"/>
              <w:rPr>
                <w:sz w:val="1"/>
                <w:szCs w:val="1"/>
                <w:color w:val="auto"/>
              </w:rPr>
            </w:pPr>
          </w:p>
        </w:tc>
      </w:tr>
      <w:tr>
        <w:trPr>
          <w:trHeight w:val="234"/>
        </w:trPr>
        <w:tc>
          <w:tcPr>
            <w:tcW w:w="7340" w:type="dxa"/>
            <w:vAlign w:val="bottom"/>
            <w:gridSpan w:val="3"/>
          </w:tcPr>
          <w:p>
            <w:pPr>
              <w:ind w:left="660"/>
              <w:spacing w:after="0"/>
              <w:rPr>
                <w:sz w:val="20"/>
                <w:szCs w:val="20"/>
                <w:color w:val="auto"/>
              </w:rPr>
            </w:pPr>
            <w:r>
              <w:rPr>
                <w:rFonts w:ascii="Arial" w:cs="Arial" w:eastAsia="Arial" w:hAnsi="Arial"/>
                <w:sz w:val="18"/>
                <w:szCs w:val="18"/>
                <w:b w:val="1"/>
                <w:bCs w:val="1"/>
                <w:color w:val="auto"/>
              </w:rPr>
              <w:t>ROYALTY TARGET PERIODS</w:t>
            </w:r>
          </w:p>
        </w:tc>
        <w:tc>
          <w:tcPr>
            <w:tcW w:w="240" w:type="dxa"/>
            <w:vAlign w:val="bottom"/>
          </w:tcPr>
          <w:p>
            <w:pPr>
              <w:spacing w:after="0"/>
              <w:rPr>
                <w:sz w:val="20"/>
                <w:szCs w:val="20"/>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TARGET</w:t>
            </w:r>
          </w:p>
        </w:tc>
        <w:tc>
          <w:tcPr>
            <w:tcW w:w="20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First Royalty Target Period</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16,000,000</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Second Royalty Target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Third Royalty Target Period</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22,000,000</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Fourth Royalty Target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24,000,000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IM Ready will receive a percentage of the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APPLICABLE</w:t>
            </w: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 OF EARN-OUT</w:t>
            </w:r>
          </w:p>
        </w:tc>
      </w:tr>
      <w:tr>
        <w:trPr>
          <w:trHeight w:val="234"/>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PERCENTAGE</w:t>
            </w:r>
          </w:p>
        </w:tc>
        <w:tc>
          <w:tcPr>
            <w:tcW w:w="80" w:type="dxa"/>
            <w:vAlign w:val="bottom"/>
            <w:tcBorders>
              <w:bottom w:val="single" w:sz="8" w:color="CCFFCC"/>
            </w:tcBorders>
          </w:tcPr>
          <w:p>
            <w:pPr>
              <w:spacing w:after="0"/>
              <w:rPr>
                <w:sz w:val="20"/>
                <w:szCs w:val="20"/>
                <w:color w:val="auto"/>
              </w:rPr>
            </w:pP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VALUE EARNED</w:t>
            </w:r>
          </w:p>
        </w:tc>
        <w:tc>
          <w:tcPr>
            <w:tcW w:w="160" w:type="dxa"/>
            <w:vAlign w:val="bottom"/>
            <w:tcBorders>
              <w:bottom w:val="single" w:sz="8" w:color="CCFFCC"/>
            </w:tcBorders>
          </w:tcPr>
          <w:p>
            <w:pPr>
              <w:spacing w:after="0"/>
              <w:rPr>
                <w:sz w:val="20"/>
                <w:szCs w:val="20"/>
                <w:color w:val="auto"/>
              </w:rPr>
            </w:pPr>
          </w:p>
        </w:tc>
      </w:tr>
      <w:tr>
        <w:trPr>
          <w:trHeight w:val="210"/>
        </w:trPr>
        <w:tc>
          <w:tcPr>
            <w:tcW w:w="726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8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76% up to 80%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80% up to 90%</w:t>
            </w:r>
          </w:p>
        </w:tc>
        <w:tc>
          <w:tcPr>
            <w:tcW w:w="1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90% up to 95%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95% up to 100%</w:t>
            </w:r>
          </w:p>
        </w:tc>
        <w:tc>
          <w:tcPr>
            <w:tcW w:w="1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100% or greater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QVC Earn-Out payment requires the Company to pay IM Ready $2,765,000, payable in cash or Common Stock, at the Company’s option, contingent upon the Isaac Mizrahi Business receiving aggregate net royalty income of at least $2,500,000 from QVC, Inc. in the twelve-month period ending on the four year anniversary of the Closing Date with such stock based upon the greater of (x) $4.50 and (y) fair market value of the common stock at the time of such issuance (the “QVC Earn-out’). The 4th anniversary from the date of the closing is September 29, 2015. The QVC Agreement current term runs through September 30, 2015. Management has determined that it is probable that the $2.5 million in net royalty income from QVC will be met. In accordance with ASC Topic 480 "Distinguishing Liabilities from Equity", the earn-out obligation is treated as a liability in the accompanying consolidated balance sheets because of the variable number of shares payable under the agreement</w:t>
      </w:r>
      <w:r>
        <w:rPr>
          <w:rFonts w:ascii="Arial" w:cs="Arial" w:eastAsia="Arial" w:hAnsi="Arial"/>
          <w:sz w:val="18"/>
          <w:szCs w:val="18"/>
          <w:color w:val="FF0000"/>
        </w:rPr>
        <w:t>.</w:t>
      </w:r>
      <w:r>
        <w:rPr>
          <w:rFonts w:ascii="Arial" w:cs="Arial" w:eastAsia="Arial" w:hAnsi="Arial"/>
          <w:sz w:val="18"/>
          <w:szCs w:val="18"/>
          <w:color w:val="auto"/>
        </w:rPr>
        <w:t xml:space="preserve"> Management will assess no less frequent than each reporting period the status of this contingent obligation. Any change in the expected obligation will result in an expense or income in the period in which it is determined fair market value has changed. Since the Closing date, there has been no change in the QVC Earn-out and the obligation was $2,765,000 as of December 31, 2012 and December 31, 2011.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7"/>
          <w:szCs w:val="17"/>
          <w:color w:val="auto"/>
        </w:rPr>
        <w:t>Pursuant to a lock-up agreement entered into in connection with the Purchase Agreement (“Lock-up Agreement”), IM Ready agreed that during the six (6) months from the Closing Date, in the case of the IM Ready Stock Consideration, or during the twelve (12) months from the date any additional shares are issued to IM Ready pursuant to the Purchase Agreement (collectively, the “Lock-up Shares”), IM Ready may not offer, sell, pledge, hypothecate, grant an option for sale or otherwise dispose of, or transfer or grant any rights with respect to, any of the Lockup Shares, except with respect to up to 1,200,000 of the IM Ready Stock Consideration which the Company agreed to include in the Registration Statement. With respect to any shares received by IM Ready as consideration under the Purchase Agreement, other than as IM Ready Stock Consideration, upon the expiration of the initial 12-month period, the lock-up restrictions on transfer shall lapse with respect to 25% of the Lockup Shares. Additionally, on the first day of each of the next three quarters, the restrictions on transfer shall lapse with respect to an additional 25% of the Lockup Shares.</w:t>
      </w:r>
    </w:p>
    <w:p>
      <w:pPr>
        <w:spacing w:after="0" w:line="1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following unaudited pro-forma information presents a summary of the Company’s consolidated results of operations as if the acquisition of the Isaac Mizrahi Business and the related financing had occurred on January 1, 2011. These pro-forma results have been prepared for comparative purposes only and do not purport to be indicative of the results of operations which actually would have occurred on January 1, 2011, or which may result in the future.</w:t>
      </w:r>
    </w:p>
    <w:p>
      <w:pPr>
        <w:spacing w:after="0" w:line="14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11,375,000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1,082,000</w:t>
            </w:r>
          </w:p>
        </w:tc>
        <w:tc>
          <w:tcPr>
            <w:tcW w:w="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4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5,750,259</w:t>
            </w:r>
          </w:p>
        </w:tc>
        <w:tc>
          <w:tcPr>
            <w:tcW w:w="60" w:type="dxa"/>
            <w:vAlign w:val="bottom"/>
            <w:tcBorders>
              <w:bottom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18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6,546,252</w:t>
            </w:r>
          </w:p>
        </w:tc>
        <w:tc>
          <w:tcPr>
            <w:tcW w:w="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bottom w:val="single" w:sz="8" w:color="CCFFCC"/>
            </w:tcBorders>
            <w:vMerge w:val="continue"/>
          </w:tcPr>
          <w:p>
            <w:pPr>
              <w:spacing w:after="0"/>
              <w:rPr>
                <w:sz w:val="20"/>
                <w:szCs w:val="20"/>
                <w:color w:val="auto"/>
              </w:rPr>
            </w:pPr>
          </w:p>
        </w:tc>
        <w:tc>
          <w:tcPr>
            <w:tcW w:w="340" w:type="dxa"/>
            <w:vAlign w:val="bottom"/>
            <w:tcBorders>
              <w:bottom w:val="single" w:sz="8" w:color="CCFF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6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0.17</w:t>
            </w:r>
          </w:p>
        </w:tc>
        <w:tc>
          <w:tcPr>
            <w:tcW w:w="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w w:val="93"/>
              </w:rPr>
              <w:t>The Company’s net carrying amount of debt is comprised of the following:</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bottom w:val="single" w:sz="8" w:color="CCFFCC"/>
            </w:tcBorders>
          </w:tcPr>
          <w:p>
            <w:pPr>
              <w:spacing w:after="0"/>
              <w:rPr>
                <w:sz w:val="19"/>
                <w:szCs w:val="19"/>
                <w:color w:val="auto"/>
              </w:rPr>
            </w:pPr>
          </w:p>
        </w:tc>
        <w:tc>
          <w:tcPr>
            <w:tcW w:w="2000" w:type="dxa"/>
            <w:vAlign w:val="bottom"/>
            <w:tcBorders>
              <w:bottom w:val="single" w:sz="8" w:color="CCFFC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auto"/>
              <w:bottom w:val="single" w:sz="8" w:color="CCFFCC"/>
            </w:tcBorders>
          </w:tcPr>
          <w:p>
            <w:pPr>
              <w:spacing w:after="0"/>
              <w:rPr>
                <w:sz w:val="19"/>
                <w:szCs w:val="19"/>
                <w:color w:val="auto"/>
              </w:rPr>
            </w:pPr>
          </w:p>
        </w:tc>
        <w:tc>
          <w:tcPr>
            <w:tcW w:w="80" w:type="dxa"/>
            <w:vAlign w:val="bottom"/>
            <w:tcBorders>
              <w:top w:val="single" w:sz="8" w:color="auto"/>
              <w:bottom w:val="single" w:sz="8" w:color="CCFFC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Term Note</w:t>
            </w:r>
          </w:p>
        </w:tc>
        <w:tc>
          <w:tcPr>
            <w:tcW w:w="20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12,579,000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12,344,000</w:t>
            </w: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Seller Note</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6,306,000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5,765,000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Installment debt obligation</w:t>
            </w:r>
          </w:p>
        </w:tc>
        <w:tc>
          <w:tcPr>
            <w:tcW w:w="2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1,158,000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Contingent obligation – due to seller</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11,466,000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17,765,000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30,351,000</w:t>
            </w: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37,032,000</w:t>
            </w:r>
          </w:p>
        </w:tc>
        <w:tc>
          <w:tcPr>
            <w:tcW w:w="80" w:type="dxa"/>
            <w:vAlign w:val="bottom"/>
            <w:tcBorders>
              <w:top w:val="single" w:sz="8" w:color="CCFFCC"/>
            </w:tcBorders>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Current portion</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1,350,000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44,000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long term liabilities</w:t>
            </w:r>
          </w:p>
        </w:tc>
        <w:tc>
          <w:tcPr>
            <w:tcW w:w="20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29,001,000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36,988,000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0" w:type="dxa"/>
            <w:vAlign w:val="bottom"/>
            <w:vMerge w:val="restart"/>
          </w:tcPr>
          <w:p>
            <w:pPr>
              <w:jc w:val="right"/>
              <w:ind w:right="163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29, 2011, and as amended on November 21, 2012, IM Brands, a wholly-owned subsidiary of the Company, entered into a five year senior secured facility (the “Loan”) with Midmarket Capital Partners, LLC (“MidMarket”) and Noteholders in the aggregate principal amount of $13,500,000. The Loan is secured by all of the assets of IM Brands, LLC and the Company’s membership interests in IM Brands, LLC.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principal amount of the Loan is payable quarterly as follows: 0% until January 5, 2013, 2.5% each quarter from January 5, 2013 through October 5, 2013; 3.75% each quarter from January 5, 2014 through October 5, 2014; 6.25% each quarter from January 5, 2015 through October 5, 2015; and 12.5% each quarter from January 5, 2016 through the maturity date, which is the date that is 5 years after the Closing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Annual principal obligations are as follows:</w:t>
            </w: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7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w w:val="91"/>
              </w:rPr>
              <w:t>Year Ending December 31,</w:t>
            </w:r>
          </w:p>
        </w:tc>
      </w:tr>
      <w:tr>
        <w:trPr>
          <w:trHeight w:val="210"/>
        </w:trPr>
        <w:tc>
          <w:tcPr>
            <w:tcW w:w="1720" w:type="dxa"/>
            <w:vAlign w:val="bottom"/>
          </w:tcPr>
          <w:p>
            <w:pPr>
              <w:spacing w:after="0"/>
              <w:rPr>
                <w:sz w:val="18"/>
                <w:szCs w:val="18"/>
                <w:color w:val="auto"/>
              </w:rPr>
            </w:pPr>
          </w:p>
        </w:tc>
        <w:tc>
          <w:tcPr>
            <w:tcW w:w="5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6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1,350,000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2014</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2,025,000</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6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3,375,000</w:t>
            </w:r>
          </w:p>
        </w:tc>
        <w:tc>
          <w:tcPr>
            <w:tcW w:w="60" w:type="dxa"/>
            <w:vAlign w:val="bottom"/>
            <w:shd w:val="clear" w:color="auto" w:fill="CCFFCC"/>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9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6,750,000</w:t>
            </w:r>
          </w:p>
        </w:tc>
        <w:tc>
          <w:tcPr>
            <w:tcW w:w="60" w:type="dxa"/>
            <w:vAlign w:val="bottom"/>
            <w:tcBorders>
              <w:bottom w:val="single" w:sz="8" w:color="CCFFC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9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13,500,000</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loan is a fixed rate of 8.5%, payable in cash quarterly.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IM Brands may prepay the Loan in whole or in part in increments of $500,000, provided that IM Brands pay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Period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Applicable Premium</w:t>
            </w:r>
          </w:p>
        </w:tc>
      </w:tr>
      <w:tr>
        <w:trPr>
          <w:trHeight w:val="20"/>
        </w:trPr>
        <w:tc>
          <w:tcPr>
            <w:tcW w:w="5180" w:type="dxa"/>
            <w:vAlign w:val="bottom"/>
            <w:tcBorders>
              <w:right w:val="single" w:sz="8" w:color="CCFFCC"/>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1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Prior to September 29, 2013</w:t>
            </w: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After September 29, 2013 and prior to September 29, 2014</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1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After September 29, 2014</w:t>
            </w: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Mandatory Prepayments.</w:t>
      </w:r>
      <w:r>
        <w:rPr>
          <w:sz w:val="20"/>
          <w:szCs w:val="20"/>
          <w:color w:val="auto"/>
        </w:rPr>
        <w:tab/>
      </w:r>
      <w:r>
        <w:rPr>
          <w:rFonts w:ascii="Arial" w:cs="Arial" w:eastAsia="Arial" w:hAnsi="Arial"/>
          <w:sz w:val="16"/>
          <w:szCs w:val="16"/>
          <w:color w:val="auto"/>
        </w:rPr>
        <w:t>IM Brands is required to prepay the Loan under the following conditions: (1) if certain indebtedness is incurred by the Company;</w:t>
      </w:r>
    </w:p>
    <w:p>
      <w:pPr>
        <w:spacing w:after="0" w:line="23" w:lineRule="exact"/>
        <w:rPr>
          <w:sz w:val="20"/>
          <w:szCs w:val="20"/>
          <w:color w:val="auto"/>
        </w:rPr>
      </w:pPr>
    </w:p>
    <w:p>
      <w:pPr>
        <w:ind w:firstLine="8"/>
        <w:spacing w:after="0" w:line="261"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Excess Cash Flow Sweep. </w:t>
      </w:r>
      <w:r>
        <w:rPr>
          <w:rFonts w:ascii="Arial" w:cs="Arial" w:eastAsia="Arial" w:hAnsi="Arial"/>
          <w:sz w:val="18"/>
          <w:szCs w:val="18"/>
          <w:color w:val="auto"/>
        </w:rPr>
        <w:t>In addition to the Mandatory Prepayments described above, if for any fiscal year ending on or subsequent to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as set forth in the financial covenant table below) required to be maintained by IM Brands at such time plus $500,000, and (y) $3,000,000. For the period ended December 31, 2012 and December 31, 2011, there was no Excess Cash Flow Sweep payment due.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Lender Warrants. </w:t>
      </w:r>
      <w:r>
        <w:rPr>
          <w:rFonts w:ascii="Arial" w:cs="Arial" w:eastAsia="Arial" w:hAnsi="Arial"/>
          <w:sz w:val="16"/>
          <w:szCs w:val="16"/>
          <w:color w:val="auto"/>
        </w:rPr>
        <w:t>On September 29, 2011, the Company issued to the Noteholders seven year warrants (the “Lender Warrants”) to purchase 364,428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Common Stock, representing 5% of the Common Stock outstanding as of the Closing Date on a fully diluted basis. The warrants have an exercise price of $0.01 and contain a cashless exercise provision. The Company granted to the holders of the Lender Warrants piggy-back registration rights with respect to the shares of Common Stock issuable upon exercise of the Lender Warrants. The carrying value of the Term Loan has been reduced by the market value of the warrants, equal to $3.33 per share. The Company used the Black-Scholes option valuation model method to determine valuation of the warrants. The amount of the original loan discount is $1,214,000, resulting in an initial net Loan balance of $12,286,000. The Loan balance as of December 31, 2012 and December 31, 2011 was $12,579,000 and $12,344,000, respectively, net of loan discount of $921,000 and $1,156,000,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So long as the Loan remains unpaid or unsatisfied, IM Brands shall not, and shall not permit any of its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xml:space="preserve"> . Permit excess liquidity to be less than the amount set forth below during each applicable period set forth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Periods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Excess Liquidity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September 29, 2011 through December 31, 2011</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January 1, 2012 through March 31, 2012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1,750,000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April 1, 2012 through June 30, 2012</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July 1, 2012 through September 30, 2012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2,750,000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October 1, 2012 through December 31, 2012</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January 1, 2013 through June 30, 2013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July 1, 2013 through September 30, 2013</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October 1, 2013 through March 31, 2014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April 1, 2014 through June 30, 2014</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July 1, 2014 and thereafter</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 Permit the aggregate amount of capital expenditures to exceed $400,000 (whether or not financed) per year.</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 Permit the consolidated fixed charge coverage ratio as of the end of each of the fiscal quarters ending on the dates (or for the periods) set forth for the period of four fiscal quarters ending on such dates (or for the periods) below to be less than the ratio set forth below opposite such period: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Minimum Fixed Charge</w:t>
            </w: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Coverage Ratio</w:t>
            </w: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80" w:type="dxa"/>
            <w:vAlign w:val="bottom"/>
            <w:tcBorders>
              <w:top w:val="single" w:sz="8" w:color="CCFFCC"/>
            </w:tcBorders>
            <w:shd w:val="clear" w:color="auto" w:fill="CCFFCC"/>
          </w:tcPr>
          <w:p>
            <w:pPr>
              <w:spacing w:after="0"/>
              <w:rPr>
                <w:sz w:val="18"/>
                <w:szCs w:val="18"/>
                <w:color w:val="auto"/>
              </w:rPr>
            </w:pPr>
          </w:p>
        </w:tc>
        <w:tc>
          <w:tcPr>
            <w:tcW w:w="20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1.90 to 1.00</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March 31, 2013 and June 30, 2013</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1.60 to 1.00</w:t>
            </w:r>
          </w:p>
        </w:tc>
      </w:tr>
      <w:tr>
        <w:trPr>
          <w:trHeight w:val="202"/>
        </w:trPr>
        <w:tc>
          <w:tcPr>
            <w:tcW w:w="20" w:type="dxa"/>
            <w:vAlign w:val="bottom"/>
          </w:tcPr>
          <w:p>
            <w:pPr>
              <w:spacing w:after="0"/>
              <w:rPr>
                <w:sz w:val="17"/>
                <w:szCs w:val="17"/>
                <w:color w:val="auto"/>
              </w:rPr>
            </w:pPr>
          </w:p>
        </w:tc>
        <w:tc>
          <w:tcPr>
            <w:tcW w:w="6860" w:type="dxa"/>
            <w:vAlign w:val="bottom"/>
            <w:shd w:val="clear" w:color="auto" w:fill="CCFFCC"/>
          </w:tcPr>
          <w:p>
            <w:pPr>
              <w:ind w:left="40"/>
              <w:spacing w:after="0" w:line="201" w:lineRule="exact"/>
              <w:rPr>
                <w:sz w:val="20"/>
                <w:szCs w:val="20"/>
                <w:color w:val="auto"/>
              </w:rPr>
            </w:pPr>
            <w:r>
              <w:rPr>
                <w:rFonts w:ascii="Arial" w:cs="Arial" w:eastAsia="Arial" w:hAnsi="Arial"/>
                <w:sz w:val="18"/>
                <w:szCs w:val="18"/>
                <w:color w:val="auto"/>
                <w:w w:val="90"/>
              </w:rPr>
              <w:t>September 30, 2013, December 31, 2013, March 31, 2014, June 30, 2014 and September 30,</w:t>
            </w:r>
          </w:p>
        </w:tc>
        <w:tc>
          <w:tcPr>
            <w:tcW w:w="226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rPr>
              <w:t>1.50 to 1.00</w:t>
            </w:r>
          </w:p>
        </w:tc>
      </w:tr>
      <w:tr>
        <w:trPr>
          <w:trHeight w:val="230"/>
        </w:trPr>
        <w:tc>
          <w:tcPr>
            <w:tcW w:w="20" w:type="dxa"/>
            <w:vAlign w:val="bottom"/>
          </w:tcPr>
          <w:p>
            <w:pPr>
              <w:spacing w:after="0"/>
              <w:rPr>
                <w:sz w:val="20"/>
                <w:szCs w:val="20"/>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FFCC"/>
          </w:tcPr>
          <w:p>
            <w:pPr>
              <w:spacing w:after="0"/>
              <w:rPr>
                <w:sz w:val="20"/>
                <w:szCs w:val="20"/>
                <w:color w:val="auto"/>
              </w:rPr>
            </w:pPr>
          </w:p>
        </w:tc>
        <w:tc>
          <w:tcPr>
            <w:tcW w:w="2080" w:type="dxa"/>
            <w:vAlign w:val="bottom"/>
            <w:shd w:val="clear" w:color="auto" w:fill="CCFF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December 31, 2014 and March 31, 2015</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1.30 to 1.00</w:t>
            </w: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June 30, 2015 and thereafter</w:t>
            </w:r>
          </w:p>
        </w:tc>
        <w:tc>
          <w:tcPr>
            <w:tcW w:w="22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1.15 to 1.00</w:t>
            </w: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xml:space="preserve"> . Permit the consolidated total leverage ratio as of the end of each of the fiscal quarters ending on the dates (or for the periods) set forth for the period of four fiscal quarters ending on such dates (or for the periods) below to be greater than the ratio set forth below opposite such period: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Leverage Ratio</w:t>
            </w: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80" w:type="dxa"/>
            <w:vAlign w:val="bottom"/>
            <w:tcBorders>
              <w:top w:val="single" w:sz="8" w:color="CCFFCC"/>
            </w:tcBorders>
            <w:shd w:val="clear" w:color="auto" w:fill="CCFFCC"/>
          </w:tcPr>
          <w:p>
            <w:pPr>
              <w:spacing w:after="0"/>
              <w:rPr>
                <w:sz w:val="18"/>
                <w:szCs w:val="18"/>
                <w:color w:val="auto"/>
              </w:rPr>
            </w:pPr>
          </w:p>
        </w:tc>
        <w:tc>
          <w:tcPr>
            <w:tcW w:w="20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3.50 to 1.00</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March 31, 2013</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3.30 to 1.00</w:t>
            </w: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June 30, 2013 and September 30, 2013</w:t>
            </w:r>
          </w:p>
        </w:tc>
        <w:tc>
          <w:tcPr>
            <w:tcW w:w="22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3.00 to 1.00</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December 31, 2013</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2.75 to 1.00</w:t>
            </w: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March 31, 2014</w:t>
            </w:r>
          </w:p>
        </w:tc>
        <w:tc>
          <w:tcPr>
            <w:tcW w:w="22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2.25 to 1.00</w:t>
            </w: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June 30, 2014 and thereafter</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2.00 to 1.00</w:t>
            </w:r>
          </w:p>
        </w:tc>
      </w:tr>
    </w:tbl>
    <w:p>
      <w:pPr>
        <w:spacing w:after="0" w:line="187" w:lineRule="exact"/>
        <w:rPr>
          <w:sz w:val="20"/>
          <w:szCs w:val="20"/>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xml:space="preserve"> . Permit consolidated EBITDA (as defined in the Loan Agreement) as of the end of each of the fiscal quarters ending on the dates set forth for the period of four fiscal quarters ending on such dates below to be less than the amount set forth opposite such quarter in the table below; provided that for the fiscal quarters ended on December 31, 2011, March 31, 2012 and June 30, 2012, such periods shall be one fiscal quarter, two fiscal quarters and three fiscal quarters,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tbl>
      <w:tblPr>
        <w:tblLayout w:type="fixed"/>
        <w:tblInd w:w="172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720" w:type="dxa"/>
            <w:vAlign w:val="bottom"/>
            <w:gridSpan w:val="3"/>
          </w:tcPr>
          <w:p>
            <w:pPr>
              <w:spacing w:after="0"/>
              <w:rPr>
                <w:sz w:val="20"/>
                <w:szCs w:val="20"/>
                <w:color w:val="auto"/>
              </w:rPr>
            </w:pPr>
            <w:r>
              <w:rPr>
                <w:rFonts w:ascii="Arial" w:cs="Arial" w:eastAsia="Arial" w:hAnsi="Arial"/>
                <w:sz w:val="18"/>
                <w:szCs w:val="18"/>
                <w:color w:val="auto"/>
                <w:w w:val="97"/>
              </w:rPr>
              <w:t>Consolidated EBITDA</w:t>
            </w:r>
          </w:p>
        </w:tc>
      </w:tr>
      <w:tr>
        <w:trPr>
          <w:trHeight w:val="210"/>
        </w:trPr>
        <w:tc>
          <w:tcPr>
            <w:tcW w:w="6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8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March 31, 2012</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r>
      <w:tr>
        <w:trPr>
          <w:trHeight w:val="216"/>
        </w:trPr>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June 30, 2012</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FFCC"/>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December 31, 2012 and March 31, 2013</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4,250,000</w:t>
            </w:r>
          </w:p>
        </w:tc>
        <w:tc>
          <w:tcPr>
            <w:tcW w:w="60" w:type="dxa"/>
            <w:vAlign w:val="bottom"/>
            <w:shd w:val="clear" w:color="auto" w:fill="CCFFCC"/>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r>
      <w:tr>
        <w:trPr>
          <w:trHeight w:val="216"/>
        </w:trPr>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September 30, 2013</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4,750,000</w:t>
            </w:r>
          </w:p>
        </w:tc>
        <w:tc>
          <w:tcPr>
            <w:tcW w:w="60" w:type="dxa"/>
            <w:vAlign w:val="bottom"/>
            <w:shd w:val="clear" w:color="auto" w:fill="CCFFCC"/>
          </w:tcPr>
          <w:p>
            <w:pPr>
              <w:spacing w:after="0"/>
              <w:rPr>
                <w:sz w:val="18"/>
                <w:szCs w:val="18"/>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December 31, 2013 and thereafter</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Dividend Restrictions</w:t>
      </w:r>
      <w:r>
        <w:rPr>
          <w:rFonts w:ascii="Arial" w:cs="Arial" w:eastAsia="Arial" w:hAnsi="Arial"/>
          <w:sz w:val="18"/>
          <w:szCs w:val="18"/>
          <w:color w:val="auto"/>
        </w:rPr>
        <w:t xml:space="preserve"> . Permit any cash dividends or any other equity distributions.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Restricted Cash Payments</w:t>
      </w:r>
      <w:r>
        <w:rPr>
          <w:rFonts w:ascii="Arial" w:cs="Arial" w:eastAsia="Arial" w:hAnsi="Arial"/>
          <w:sz w:val="18"/>
          <w:szCs w:val="18"/>
          <w:color w:val="auto"/>
        </w:rPr>
        <w:t xml:space="preserve"> . Permit any cash payments for the Seller Note or any contingent earn-out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the Company and IM Brands, LLC were in full compliance with all of the covenants under 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Purchase Agreement, at the closing, the Company delivered to IM Ready a promissory note (the “Seller Note”) in the principal amount of $7,377,000. The stated interest rate of the Seller Note is 0.25%. Management has determined that this rate is below the Company’s expected borrowing rate, which is 9.25%. Therefore, the Company has discounted the Seller Note by $1,740,000 using a 9.0%, imputed annual interest rate, resulting in an initial value of $5,637,000. In addition, the Company pre-paid $123,000 of interest on the Seller Note on the Closing Date. The discount is amortized into (increases) the basis of the Seller Note over the term of the Seller Note. The Seller Note balance at December 31, 2012 and December 31, 2011 was $6,306,000 and $5,765,000, respectively.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Seller Note initially matures on September 29, 2014 (the “Maturity Date”) subject to extension as described below (the date to which the maturity date of the Seller Note is extended is referred to as the “Subsequent Maturity Date”). We have the right to pay the Seller Note at the Maturity Date in cash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Subsequent Maturity Date. In addition, at any time the Seller Note is outstanding, we have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u w:val="single" w:color="auto"/>
          <w:color w:val="auto"/>
        </w:rPr>
        <w:t>Long Term Installment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Transaction, the Company assumed an obligation of IM Ready that pays Earthbound a payment of $1,500,000, with such amount payable over the next five years. The five-year obligation was non-interest bearing and the Company discounted the amount of the installment obligation by a 9.25% imputed annual interest rate, resulting in an initial value of $1,132,000.</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21, 2012, the Company entered into settlement agreement with Earthbound to satisfy the remaining obligation for $537,500 in cash and 60,000 shares of Common stock, valued on that date at $180,000. The total settlement consideration of $717,000 compared with a carrying value on the date of settlement of $1,139,000 resulted in the recognition of a $422,000 gain on extinguishment of debt in its December 31, 2012 consolidated statement of operations. The balance of the Installment Obligation at December 31, 2012 and December 31, 2011 was $0 and $1.2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Earn-out obligation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IM Ready is eligible to earn additional shares of Common Stock with a value of up to $7,500,000 (the “Earn-Out Value”) each year for the next three consecutive 12-month periods ending September 30, 2013, 2014 and 2015, with the number of shares to be issued based upon the greater of (i) $4.50 per share and (ii) the average stock price for the last twenty days in such period, and with such earn-out payment contingent upon the Isaac Mizrahi Business achieving net royalty income targets set forth below during those years. IM Ready was eligible to earn additional shares of Common Stock for the fiscal year ended September 30, 2012, but did not meet the minimum net royalty income target. The Earn-Out Obligation of $8.7 million and $15.0 million are recorded as long term liabilities on the Company’s Consolidated Balance Sheets at December 31, 2012 and December 31, 2011, respectively (the “Earn-Out Obligation”). The $6.3 million reduction was recorded as a gain on reduction of contingent obligations in the Company’s December 31, 2012 consolidated</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statement of operations. The reduction in the Earn-Out Obligation during the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quarter 2012 was based primarily on a revision of projected future net royalty income related to the Isaac Mizrahi brand. Any future change in the Earn-Out Obligation will result in an expense or income in the period in which it is determined fair market value of the carrying value has changed. The royalty targets and percentage of the potential earn-out value are as follows: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ROYALTY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EARN-OUT</w:t>
            </w: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TARGET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First Royalty Target Period (October 1, 2011 to September 30, 2012)</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Second Royalty Target Period (October 1, 2012 to September 30, 2013)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Third Royalty Target Period (October 1, 2013 to September 30, 2014)</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22,000,000</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Fourth Royalty Target Period (October 1, 2014 to September 30, 2015)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24,000,000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IM Ready will receive a percentage of the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APPLICABLE</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 OF EARN-OUT</w:t>
            </w:r>
          </w:p>
        </w:tc>
        <w:tc>
          <w:tcPr>
            <w:tcW w:w="0" w:type="dxa"/>
            <w:vAlign w:val="bottom"/>
          </w:tcPr>
          <w:p>
            <w:pPr>
              <w:spacing w:after="0"/>
              <w:rPr>
                <w:sz w:val="1"/>
                <w:szCs w:val="1"/>
                <w:color w:val="auto"/>
              </w:rPr>
            </w:pPr>
          </w:p>
        </w:tc>
      </w:tr>
      <w:tr>
        <w:trPr>
          <w:trHeight w:val="234"/>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PERCENTAGE</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VALUE EARNED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80" w:type="dxa"/>
            <w:vAlign w:val="bottom"/>
            <w:vMerge w:val="continue"/>
            <w:shd w:val="clear" w:color="auto" w:fill="CCFFCC"/>
          </w:tcPr>
          <w:p>
            <w:pPr>
              <w:spacing w:after="0"/>
              <w:rPr>
                <w:sz w:val="18"/>
                <w:szCs w:val="18"/>
                <w:color w:val="auto"/>
              </w:rPr>
            </w:pP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76% up to 80%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80% up to 90%</w:t>
            </w: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90% up to 95%</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95% up to 100%</w:t>
            </w:r>
          </w:p>
        </w:tc>
        <w:tc>
          <w:tcPr>
            <w:tcW w:w="1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100% or greater</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Earn-Out Value is payable solely in stock. In accordance with ASC Topic 480 "Distinguishing Liabilities from Equity", the earn-out obligation is treated as a liability in the accompanying consolidated balance sheet because of the variable number of shares payable under the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QVC Earn-out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QVC Earn-Out payment requires the Company to pay IM Ready $2.8 million, payable in cash or Common Stock, at the Company’s option, contingent upon the Isaac Mizrahi Business receiving aggregate net royalty income of at least $2.5 million from QVC in the twelve-month period ending September 30, 2015 with such stock based upon the greater of (x) $4.50 per share, and (y) the average stock price for the last twenty days prior to the time of such issuance (the “QVC Earn-out’). The current term of the QVC Agreement runs through September 30, 2015. Management has determined that it is probable that the $2.5 million in net royalty income from QVC will be met. In accordance with ASC Topic 480 "Distinguishing Liabilities from Equity", the earn-out obligation is treated as a liability in the accompanying consolidated balance sheet because of the variable number of shares payable under the agreement</w:t>
      </w:r>
      <w:r>
        <w:rPr>
          <w:rFonts w:ascii="Arial" w:cs="Arial" w:eastAsia="Arial" w:hAnsi="Arial"/>
          <w:sz w:val="17"/>
          <w:szCs w:val="17"/>
          <w:color w:val="FF0000"/>
        </w:rPr>
        <w:t>.</w:t>
      </w:r>
      <w:r>
        <w:rPr>
          <w:rFonts w:ascii="Arial" w:cs="Arial" w:eastAsia="Arial" w:hAnsi="Arial"/>
          <w:sz w:val="17"/>
          <w:szCs w:val="17"/>
          <w:color w:val="auto"/>
        </w:rPr>
        <w:t xml:space="preserve">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2012 the Earn-Out Obligation is $8.7 million and the QVC Earn-Out is $2.8 million, which combined equals $11.5 million and represents the total contingent obligation to IM Ready.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Merger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Merger, the Company exchanged all of its outstanding common stock for shares of NetFabrics and issued an aggregate 944,668 shares of Common Stock for each share of the common stock outstanding at the effective time of the Merger.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Also in connection with the Merger and related transactions, as more fully described herein, the Company issued (i) 2,759,000 shares of Common Stock to IM Ready, and 944,688 shares of Common Stock to Earthbound, both in satisfaction of Old XCel’s obligations under an asset purchase agreement with IM Ready and (ii) 47,132 shares of Common Stock to Mr. Stephen J. Cole-Hatchard or his designees, a then-current director of the Company for his continued service as a director of the Company until new directors were appointed to the board of directors of the Company, which appointments were effective on October 17, 2011 and at which point Mr. Cole-Hatchard resigned from the Company’s board of directors.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28, 2011, NetFabrics filed an amendment to its certificate of incorporation and affected a 1 for 520.5479607 reverse stock split such that holders of its Common Stock prior to the Merger held a total of 186,811 shares of Common Stock and options and warrants to purchase 1,064 shares of Common Stock immediately prior to the Merger. After giving effect to the Merger, the Offering (see definition below), the Loan and the transactions related thereto (all as defined and described herein), there were 5,743,319 shares of common stock issued and outstanding as of the Closing Date. All numbers of shares and per share amounts of Common Stock referenced herein are on a post-split basis.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20,000 of the shares of Common Stock held by Beaufort Ventures, PLC, a principal stockholder of the Company prior to the Merger, were held in escrow, which the Company released to Beaufort Ventures, PLC in consideration of satisfying an outstanding tax liability. As additional consideration for the Merger, Old XCel paid $125,000 at the Closing to the then-current counsel of NetFabrics in order to extinguish certain remaining liabilities of the Company immediately preceding the Merger.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Simultaneously with the closing of the Merger, and pursuant to a subscription agreement (the “Subscription Agreement”) between the Company and certain accredited investors (the “Investors”) named in the Subscription Agreement, the Company completed an offering (the “Offering”), raising proceeds of $4,305,000, through the sale of 8.61 units (each, a “Unit,” and collectively, the “Units”), each Unit consisting of One Hundred Thousand (100,000) shares of Common Stock and a Warrant to purchase Fifty Thousand (50,000) shares of Common Stock, at an exercise price of $0.01 per share (the “Warrants” and together with the Common Stock the “Securities”) at a price of $500,000 per Unit. Certain executive officers and their affiliates purchased 4.25 Units in the Offering on the same terms and conditions as other Investors (the “Insider Participation”).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Warrants may be exercised at any time upon the election of the holder, beginning on the date of issuance and ending on September 29, 2016. If, one (1) year from the date of issuance there is no effective registration statement registering the shares of Common Stock underlying the Warrants, the Warrants will be exercisable on a cashless basis. The exercise price and number of shares of Common Stock to be received upon the exercise of Warrants are subject to adjustment upon the occurrence of certain events, such as stock splits, stock dividends or our recapitalization. In the event of our liquidation, dissolution or winding up, the holders of Warrants will not be entitled to participate in the distribution of our assets. Holders of Warrants do not have voting, pre-emptive, subscription or other rights of stockholders in respect of the Warrants, nor shall holders thereof be entitled to receive dividends.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Offering, we issued to the placement agent, for placement agent services and as nominal consideration, five-year warrants (the “Agent Warrants”) to purchase 9,800 shares of Common Stock, exercisable at any time at a price equal to $5.50 per share, valued at approximately $3,000.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included 1,200,000 of the shares of Common Stock issuable to IM Ready on the Closing Date in the Registration Statement filed with the Securities and Exchange Commission on July 26, 2012.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granted to certain of the executive officers pursuant to their individual employment agreements piggy-back registration rights with respect to the shares of Common Stock issuable upon exercise of the executive warrants. These individuals have, however, agreed not to include such shares in the Registration Statement.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granted to the holders of the Lender Warrants (as defined herein) piggy-back registration rights with respect to the shares of Common Stock issuable upon exercise of the Lender Warrants and the share issuable upon exercise of the Lender Warrants will be included in the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2011 Equity Incentive Plan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Company, with the approval of a majority of its shareholders and Board of Directors, amended and restated the Plan effective November 26, 2012. A total of 5,000,000 shares of common stock are eligible for issuance under the Plan. The Plan provides for the grant of any or all of the following types of awards: stock options, restricted stock, deferred stock, stock appreciation rights and other stock-based awards. The Plan will be administered by the Board, or, at the Board's discretion, a committee of the Board.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17, 2011, the Company granted options to purchase 250,000 shares of Common Stock to the board members. 33.33% vested immediately, 33.33% vested on the first anniversary of the grant and the 33.34% vest on the second anniversary of the grant. As of December 31, 2012, options to purchase 166,670 shares have vested of which none have been exercised.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21, 2011, the Company granted to its employees (non-management) options to purchase 17,125 shares of Common Stock and issued 17,125 shares of restricted stock grants. The employee stock options and restricted stock grants vested 50% on the first anniversary of the grant and vest 50% on the second anniversary of the grant. Of these awards, 875 options and 875 restricted stock grants were forfeited, and reverted to, and are eligible for re-grant under the Plan. As of December 31, 2012, options to purchase 8,188 shares have vested of which none have been exercised. As of December 31, 2012, restrictions on 8,188 shares have lapsed.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spacing w:after="0" w:line="291" w:lineRule="auto"/>
        <w:rPr>
          <w:sz w:val="20"/>
          <w:szCs w:val="20"/>
          <w:color w:val="auto"/>
        </w:rPr>
      </w:pPr>
      <w:r>
        <w:rPr>
          <w:rFonts w:ascii="Arial" w:cs="Arial" w:eastAsia="Arial" w:hAnsi="Arial"/>
          <w:sz w:val="16"/>
          <w:szCs w:val="16"/>
          <w:color w:val="auto"/>
        </w:rPr>
        <w:t>On April 17, 2012, the Company issued to management an aggregate of 1,100,000 shares of restricted stock. The vesting date of 1,025,000 shares of restricted stock was November 15, 2012, provided, however, that each such grantee has the right to extend the vesting date by six-month increments in his or her sole discretion, prior to the date the restrictions would lapse. The vesting date of 37,500 shares of restricted stock is May 15, 2013, provided however, the executive has the right to extend the vesting date by six-month increments in his sole discretion, prior to the date the restrictions would lapse. The vesting date of 37,500 shares of restricted stock is May 15, 2014, provided however, the executive has the right to extend the vesting date by six-month increments in his sole discretion, prior to the date the restrictions would lapse. As of December 31, 2012, restrictions on 509,488 shares have lapsed. On November 15, 2012, the Company repurchased 209,623 shares upon vesting of restricted stock in satisfying the grantees tax withholding obligation.</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on April 17, 2012, the Company issued 50,000 shares of restricted stock to a non-executive employee. The vesting date of the 50,000 shares of restricted stock was November 15, 2012, provided however, the employee has the right to extend the vesting date by nine-month increments in her sole discretion, prior to the date the restrictions would lapse. As of December 31, 2012, restrictions on 24,916 shares have lapsed. On November 15, 2012 the Company repurchased 8,540 shares upon vesting of restricted stock in satisfying the grantees tax withholding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May 1, 2012, the Company granted options to purchase an aggregate of 105,500 shares of Common Stock to non-executive employees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per share of the options is $3.00 per share, and 50% of the options will vest on each of the first and second anniversaries of the grant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these awards, 26,750 options were forfeited, and reverted to, and are eligible for re-grant under the Plan.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 2012, the Company issued to non-management directors 138,335 shares of restricted stock. The vesting date of 138,335 shares of restricted stock was December 1, 2012, provided, however, that each such grantee has the right to extend the vesting date by six-month increments in his sole discretion, prior to the date the restrictions would lapse. As of December 31, 2012, restrictions on 53,995 shares have lapsed. On November 15, 2012 the Company repurchased 18,870 shares on vesting of restricted stock in satisfying the grantees tax withholding obligation.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 2012, the Company issued to management 242,775 shares of restricted stock. The vesting date of 242,775 shares of restricted stock was December 1, 2012, provided, however, that each such grantee has the right to extend the vesting date by six-month increments in his sole discretion, prior to the date the restrictions would lapse. As of December 31, 2012, none of these shares have vested.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The fair value for these options and warrants for all years was estimated at the date of grant using the Black-Scholes option-pricing model with the following weighted-average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The Period</w:t>
            </w:r>
          </w:p>
        </w:tc>
      </w:tr>
      <w:tr>
        <w:trPr>
          <w:trHeight w:val="216"/>
        </w:trPr>
        <w:tc>
          <w:tcPr>
            <w:tcW w:w="6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September 29,</w:t>
            </w:r>
          </w:p>
        </w:tc>
      </w:tr>
      <w:tr>
        <w:trPr>
          <w:trHeight w:val="216"/>
        </w:trPr>
        <w:tc>
          <w:tcPr>
            <w:tcW w:w="6900" w:type="dxa"/>
            <w:vAlign w:val="bottom"/>
          </w:tcPr>
          <w:p>
            <w:pPr>
              <w:spacing w:after="0"/>
              <w:rPr>
                <w:sz w:val="18"/>
                <w:szCs w:val="18"/>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The Year Ended</w:t>
            </w:r>
          </w:p>
        </w:tc>
        <w:tc>
          <w:tcPr>
            <w:tcW w:w="22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2011 to</w:t>
            </w:r>
          </w:p>
        </w:tc>
      </w:tr>
      <w:tr>
        <w:trPr>
          <w:trHeight w:val="216"/>
        </w:trPr>
        <w:tc>
          <w:tcPr>
            <w:tcW w:w="6900" w:type="dxa"/>
            <w:vAlign w:val="bottom"/>
          </w:tcPr>
          <w:p>
            <w:pPr>
              <w:spacing w:after="0"/>
              <w:rPr>
                <w:sz w:val="18"/>
                <w:szCs w:val="18"/>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December 31,</w:t>
            </w:r>
          </w:p>
        </w:tc>
      </w:tr>
      <w:tr>
        <w:trPr>
          <w:trHeight w:val="230"/>
        </w:trPr>
        <w:tc>
          <w:tcPr>
            <w:tcW w:w="6900" w:type="dxa"/>
            <w:vAlign w:val="bottom"/>
            <w:tcBorders>
              <w:bottom w:val="single" w:sz="8" w:color="CCFFCC"/>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tcBorders>
              <w:bottom w:val="single" w:sz="8" w:color="CCFFCC"/>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60" w:type="dxa"/>
            <w:vAlign w:val="bottom"/>
            <w:tcBorders>
              <w:bottom w:val="single" w:sz="8" w:color="CCFFCC"/>
            </w:tcBorders>
          </w:tcPr>
          <w:p>
            <w:pPr>
              <w:spacing w:after="0"/>
              <w:rPr>
                <w:sz w:val="20"/>
                <w:szCs w:val="20"/>
                <w:color w:val="auto"/>
              </w:rPr>
            </w:pPr>
          </w:p>
        </w:tc>
      </w:tr>
      <w:tr>
        <w:trPr>
          <w:trHeight w:val="210"/>
        </w:trPr>
        <w:tc>
          <w:tcPr>
            <w:tcW w:w="690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 (i)</w:t>
            </w:r>
          </w:p>
        </w:tc>
        <w:tc>
          <w:tcPr>
            <w:tcW w:w="2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39-40%</w:t>
            </w:r>
          </w:p>
        </w:tc>
        <w:tc>
          <w:tcPr>
            <w:tcW w:w="2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35-42%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90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 (ii)</w:t>
            </w:r>
          </w:p>
        </w:tc>
        <w:tc>
          <w:tcPr>
            <w:tcW w:w="2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4-5 years</w:t>
            </w:r>
          </w:p>
        </w:tc>
        <w:tc>
          <w:tcPr>
            <w:tcW w:w="2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 – 5.75 years</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0.70 – 0.80%</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0.42% - 0.98%</w:t>
            </w:r>
          </w:p>
        </w:tc>
      </w:tr>
    </w:tbl>
    <w:p>
      <w:pPr>
        <w:spacing w:after="0" w:line="187"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Company’s limited trading activity, the Company used the average volatility of companies in its industry.</w:t>
      </w:r>
    </w:p>
    <w:p>
      <w:pPr>
        <w:spacing w:after="0" w:line="23" w:lineRule="exact"/>
        <w:rPr>
          <w:rFonts w:ascii="Arial" w:cs="Arial" w:eastAsia="Arial" w:hAnsi="Arial"/>
          <w:sz w:val="18"/>
          <w:szCs w:val="18"/>
          <w:color w:val="auto"/>
        </w:rPr>
      </w:pPr>
    </w:p>
    <w:p>
      <w:pPr>
        <w:ind w:left="980" w:right="160" w:hanging="648"/>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Company’s limited history, the expected life of options was calculated using the ‘simplified method’ in accordance Staff accounting bulletin (“SAB”) Topic 14.02 in accordance with SAB no. 110.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the Plan expire at various times, either five, seven or ten years from the date of grant, depending on the particular grant.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Summary of the Company’s stock options for the year ended December 31, 2012 and for the period September 29, 2011 to December 31, 2011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w w:val="96"/>
              </w:rPr>
              <w:t>Weighted-Average</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1400" w:type="dxa"/>
            <w:vAlign w:val="bottom"/>
          </w:tcPr>
          <w:p>
            <w:pPr>
              <w:ind w:left="740"/>
              <w:spacing w:after="0"/>
              <w:rPr>
                <w:sz w:val="20"/>
                <w:szCs w:val="20"/>
                <w:color w:val="auto"/>
              </w:rPr>
            </w:pPr>
            <w:r>
              <w:rPr>
                <w:rFonts w:ascii="Arial" w:cs="Arial" w:eastAsia="Arial" w:hAnsi="Arial"/>
                <w:sz w:val="18"/>
                <w:szCs w:val="18"/>
                <w:color w:val="auto"/>
              </w:rPr>
              <w:t>Options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0"/>
        </w:trPr>
        <w:tc>
          <w:tcPr>
            <w:tcW w:w="7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29, 2011</w:t>
            </w:r>
          </w:p>
        </w:tc>
        <w:tc>
          <w:tcPr>
            <w:tcW w:w="1400" w:type="dxa"/>
            <w:vAlign w:val="bottom"/>
            <w:tcBorders>
              <w:top w:val="single" w:sz="8" w:color="auto"/>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267,125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Canceled</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1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267,125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105,500</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Expired/Forfeited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(27,625)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70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and expected to vest at December 31, 2012</w:t>
            </w:r>
          </w:p>
        </w:tc>
        <w:tc>
          <w:tcPr>
            <w:tcW w:w="1400" w:type="dxa"/>
            <w:vAlign w:val="bottom"/>
            <w:tcBorders>
              <w:top w:val="single" w:sz="8" w:color="auto"/>
              <w:bottom w:val="single" w:sz="8" w:color="auto"/>
            </w:tcBorders>
            <w:shd w:val="clear" w:color="auto" w:fill="CCFFCC"/>
          </w:tcPr>
          <w:p>
            <w:pPr>
              <w:spacing w:after="0"/>
              <w:rPr>
                <w:sz w:val="19"/>
                <w:szCs w:val="19"/>
                <w:color w:val="auto"/>
              </w:rPr>
            </w:pP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8"/>
              </w:rPr>
              <w:t>345,000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Exercisable at December 31, 2012</w:t>
            </w: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174,858</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preceding table does not include options to purchase 576 shares of Common Stock for $728 per share issued under the Company’s former equity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issue any equity awards under this plan.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grant date fair value per share of options granted during the year ended December 31, 2012 and the period from September 29, 2011 to December 31, 2011 was $0.99 and $0.43.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contractual term (in years) of options outstanding as of December 31, 2012 and 2011, were 4.74 and 5.11 respectively. The weighted average contractual term (in years) of options exercisable as of December 31, 2012 and 2011, were 4.03 and 4.79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market price of the Company’s common stock as of December 31, 2012 and the exercise price of the underlying options. At December 31, 2012 and 2011 the aggregate intrinsic value of options outstanding was less than zero, respectively. In addition, at December 31, 2012 and 2011, the aggregate intrinsic value of options exercisable was less than zero, respectively. There were no unamortized options as of December 31, 2011. There were no options exercised for the year ended December 31, 2012 and the period from September 29, 2011 to December 31, 2011.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 grants for the year ended December 31, 2012 and the period September 29, 2011 to December 31, 2011 was $65,000 and $44,000, respectively. There was no compensation expense for the Predecessor period. An additional amount of $83,000 is expected to be expensed over a period of 16-months from January 1, 2013 through April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Warrants -</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29, 2011, the Company issued to management warrants to purchase 463,750 shares of common stock. The warrants are exercisable in whole or in part, at an exercise price of $5.00 per share (“Exercise Price”). The warrants consist of (1) immediately exercisable warrants to purchase 363,750 shares of common stock, beginning on the date of issuance and ending of the tenth anniversary of the Closing Date and (2) 100,000 shares issuable upon exercise of warrants subject to 50% of such warrants vesting on each of the first two anniversaries from the Closing Date, and expiring on the tenth anniversary of the Closing Date. Upon the expiration of the warrant exercise periods, the warrants will expire and become void and worthless. As of December 31, 2012, none of these warrants have been exercised.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59"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Investor Warrants -</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part of the Offering, we issued warrants to purchase 430,500 shares of common stock to investors in the Offering. The warrants are exercisable in whole or in part, at an exercise price of $0.01 per share. The warrants may be exercised at any time upon the election of the holder, beginning on the date of issuance and ending on the fifth anniversary of the Closing Date. Upon the expiration of the warrant exercise period, the Warrants will expire and become void and worthless.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warrants for the year ended December 31, 2012 and for the period September 29, 2011 to December 31, 2011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w w:val="96"/>
              </w:rPr>
              <w:t>Weighted-Average</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jc w:val="right"/>
              <w:ind w:right="940"/>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0"/>
        </w:trPr>
        <w:tc>
          <w:tcPr>
            <w:tcW w:w="7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29, 2011</w:t>
            </w:r>
          </w:p>
        </w:tc>
        <w:tc>
          <w:tcPr>
            <w:tcW w:w="206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1,268,478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2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Exercised</w:t>
            </w:r>
          </w:p>
        </w:tc>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2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2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1,219,543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Granted</w:t>
            </w:r>
          </w:p>
        </w:tc>
        <w:tc>
          <w:tcPr>
            <w:tcW w:w="2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75,000</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Canceled</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22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(162,500)</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Expired/Forfeited</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20" w:type="dxa"/>
            <w:vAlign w:val="bottom"/>
            <w:tcBorders>
              <w:top w:val="single" w:sz="8" w:color="CCFFCC"/>
              <w:bottom w:val="single" w:sz="8" w:color="auto"/>
            </w:tcBorders>
            <w:shd w:val="clear" w:color="auto" w:fill="CCFFCC"/>
          </w:tcPr>
          <w:p>
            <w:pPr>
              <w:spacing w:after="0"/>
              <w:rPr>
                <w:sz w:val="19"/>
                <w:szCs w:val="19"/>
                <w:color w:val="auto"/>
              </w:rPr>
            </w:pPr>
          </w:p>
        </w:tc>
        <w:tc>
          <w:tcPr>
            <w:tcW w:w="1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1,132,043</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Exercisable at December 31, 2012</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20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1,082,043</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warrants grants for the year ended December 31, 2012 and the period September 29, 2011 to December 31, 2011 was $44,000 and $324,000, respectively. There was no compensation expense for the Predecessor period. An additional amount of $33,000 is expected to be expensed over a period of 9 months.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issued to a licensee warrants to purchase 75,000 shares of common stock with an exercise price of $5.50 per share and a term of 5-years. Compensation expense related to warrants in connection with the licensing agreement is amortized over the 5-year initial term of the license agreement and is recorded as a discount to licensing revenues. The stock-based licensing revenue-discount for the year ended December 31, 2012 and the period September 29, 2011 to December 31, 2011 was $5,000 and $1,000, respectively. There was no compensation expense prior to the Successor period. An additional amount of $17,000 is expected to be amortized over a period of 45 months from January 1, 2013 through September 30, 2016.</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29, 2011, the Company issued to the Noteholders seven-year warrants (the “Lender Warrants”) to purchase 364,428 shares of the Common Stock, representing 5% of the Common Stock outstanding as of the Closing Date on a fully diluted basis. The warrants have an exercise price of $0.01 and contain a cashless exercise provision. The carrying value of the Term Loan has been reduced by the market value of the warrants, equal to $3.33 per share. The Company used the Black-Scholes option valuation model method to determine valuation. The amount of the original loan discount is $1,214,000, resulting in an initial net loan balance of $12,286,000. The loan discount is being amortized over the 5-year term of the Loan and is recorded as other interest and finance charges in the Company’s Consolidated Statements of Operations. The other interest and finance charges related to the Lender Warrants for the year ended December 31, 2012 and the period September 29, 2011 to December 31, 2011 were $235,000 and $58,000,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Compensation cost for restricted stock is measured using the fair value of the Company’s common stock at the date the common stock is granted.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Company’s restricted stock for the year ended December 31, 2012 and for the period September 29, 2011 to December 31, 2011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r>
      <w:tr>
        <w:trPr>
          <w:trHeight w:val="216"/>
        </w:trPr>
        <w:tc>
          <w:tcPr>
            <w:tcW w:w="81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Grant Date</w:t>
            </w:r>
          </w:p>
        </w:tc>
      </w:tr>
      <w:tr>
        <w:trPr>
          <w:trHeight w:val="230"/>
        </w:trPr>
        <w:tc>
          <w:tcPr>
            <w:tcW w:w="8120" w:type="dxa"/>
            <w:vAlign w:val="bottom"/>
          </w:tcPr>
          <w:p>
            <w:pPr>
              <w:spacing w:after="0"/>
              <w:rPr>
                <w:sz w:val="20"/>
                <w:szCs w:val="20"/>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Fair value</w:t>
            </w:r>
          </w:p>
        </w:tc>
      </w:tr>
      <w:tr>
        <w:trPr>
          <w:trHeight w:val="210"/>
        </w:trPr>
        <w:tc>
          <w:tcPr>
            <w:tcW w:w="8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28, 2011</w:t>
            </w: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17,125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1,544,943</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Canceled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(596,586)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Expired/Forfeited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23"/>
        </w:trPr>
        <w:tc>
          <w:tcPr>
            <w:tcW w:w="8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964,607</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restricted stock grants for the year ended December 31, 2012 and the period September 29, 2011 to December 31, 2011 was $4,514,000 and $5,000, respectively. There was no compensation expense for the Predecessor period. An additional amount of $170,000 is expected to be expensed over a period of 17-months from January 1, 2013 through May 31, 2014.</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information with respect to purchases by the Company of shares of its common stock during the fiscal 2012. There were no purchases of its common stock by the Company for the period September 29, 2011 to December 31,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 as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Part of</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w:t>
            </w: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Average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Publically</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Fair value of</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of Shares</w:t>
            </w:r>
          </w:p>
        </w:tc>
        <w:tc>
          <w:tcPr>
            <w:tcW w:w="22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Price Paid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re-purchased</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Date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Purchased (a)</w:t>
            </w:r>
          </w:p>
        </w:tc>
        <w:tc>
          <w:tcPr>
            <w:tcW w:w="22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per Share</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1"/>
              </w:rPr>
              <w:t>shares</w:t>
            </w:r>
          </w:p>
        </w:tc>
      </w:tr>
      <w:tr>
        <w:trPr>
          <w:trHeight w:val="210"/>
        </w:trPr>
        <w:tc>
          <w:tcPr>
            <w:tcW w:w="45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November 15, 2012</w:t>
            </w:r>
          </w:p>
        </w:tc>
        <w:tc>
          <w:tcPr>
            <w:tcW w:w="12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218,163</w:t>
            </w:r>
          </w:p>
        </w:tc>
        <w:tc>
          <w:tcPr>
            <w:tcW w:w="2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654,000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December 1, 2012</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18,870</w:t>
            </w: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56,000</w:t>
            </w:r>
          </w:p>
        </w:tc>
      </w:tr>
      <w:tr>
        <w:trPr>
          <w:trHeight w:val="223"/>
        </w:trPr>
        <w:tc>
          <w:tcPr>
            <w:tcW w:w="4700" w:type="dxa"/>
            <w:vAlign w:val="bottom"/>
            <w:tcBorders>
              <w:top w:val="single" w:sz="8" w:color="CCFFCC"/>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237,033</w:t>
            </w: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710,000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the shares in the proceeding table were originally granted to employees and directors as restricted stock pursuant to the Company’s Plan. The shares reflected above were relinquished by employees and directors in exchange for the Company’s agreement to pay federal and state and local withholding obligations on behalf of such employees and directors on the vesting of restricted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there were 3,330,840 common shares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2012 there were 4,808,459 common shares reserved for issuance pursuant to unexercised warrants and stock options, and availability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Basic earnings per share includes no dilution and is computed by dividing net income available to common stockholders by the weighted average number of common shares outstanding for the period. Diluted earnings per share reflect, in periods in which they have a dilutive effect, the effect of restricted stock-based awards and common shares issuable upon exercise of stock options and warrants. The difference between basic and diluted weighted-average common shares results from the assumption that all dilutive stock options and warrants outstanding were exercised have been converted into common stock.</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2012, 345,000 shares issuable upon exercise of options and 548,550 shares issuable upon exercise of warrants were excluded from the calculation of earnings per share because they were anti-dilutive. For the period September 29, 2011 to December 31, 2011, the diluted and basic weighted average shares were the same due to the net loss reported.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Successor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Successor</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Period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29,</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Period January</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2011 to</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 2011 to</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28,</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4020" w:type="dxa"/>
            <w:vAlign w:val="bottom"/>
            <w:gridSpan w:val="2"/>
          </w:tcPr>
          <w:p>
            <w:pPr>
              <w:jc w:val="center"/>
              <w:ind w:left="2450"/>
              <w:spacing w:after="0"/>
              <w:rPr>
                <w:sz w:val="20"/>
                <w:szCs w:val="20"/>
                <w:color w:val="auto"/>
              </w:rPr>
            </w:pPr>
            <w:r>
              <w:rPr>
                <w:rFonts w:ascii="Arial" w:cs="Arial" w:eastAsia="Arial" w:hAnsi="Arial"/>
                <w:sz w:val="18"/>
                <w:szCs w:val="18"/>
                <w:color w:val="auto"/>
                <w:w w:val="89"/>
              </w:rPr>
              <w:t>2012</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17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10"/>
        </w:trPr>
        <w:tc>
          <w:tcPr>
            <w:tcW w:w="3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Basic</w:t>
            </w:r>
          </w:p>
        </w:tc>
        <w:tc>
          <w:tcPr>
            <w:tcW w:w="252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6,936,452</w:t>
            </w:r>
          </w:p>
        </w:tc>
        <w:tc>
          <w:tcPr>
            <w:tcW w:w="24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5,770,266</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ind w:left="130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4260" w:type="dxa"/>
            <w:vAlign w:val="bottom"/>
            <w:gridSpan w:val="3"/>
          </w:tcPr>
          <w:p>
            <w:pPr>
              <w:jc w:val="right"/>
              <w:ind w:right="240"/>
              <w:spacing w:after="0"/>
              <w:rPr>
                <w:sz w:val="20"/>
                <w:szCs w:val="20"/>
                <w:color w:val="auto"/>
              </w:rPr>
            </w:pPr>
            <w:r>
              <w:rPr>
                <w:rFonts w:ascii="Arial" w:cs="Arial" w:eastAsia="Arial" w:hAnsi="Arial"/>
                <w:sz w:val="18"/>
                <w:szCs w:val="18"/>
                <w:color w:val="auto"/>
              </w:rPr>
              <w:t>641,109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600" w:type="dxa"/>
            <w:vAlign w:val="bottom"/>
          </w:tcPr>
          <w:p>
            <w:pPr>
              <w:ind w:left="130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23"/>
        </w:trPr>
        <w:tc>
          <w:tcPr>
            <w:tcW w:w="3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w:t>
            </w:r>
          </w:p>
        </w:tc>
        <w:tc>
          <w:tcPr>
            <w:tcW w:w="2520" w:type="dxa"/>
            <w:vAlign w:val="bottom"/>
            <w:tcBorders>
              <w:top w:val="single" w:sz="8" w:color="CCFFCC"/>
            </w:tcBorders>
            <w:shd w:val="clear" w:color="auto" w:fill="CCFFCC"/>
          </w:tcPr>
          <w:p>
            <w:pPr>
              <w:spacing w:after="0"/>
              <w:rPr>
                <w:sz w:val="19"/>
                <w:szCs w:val="19"/>
                <w:color w:val="auto"/>
              </w:rPr>
            </w:pP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7,577,561</w:t>
            </w:r>
          </w:p>
        </w:tc>
        <w:tc>
          <w:tcPr>
            <w:tcW w:w="240" w:type="dxa"/>
            <w:vAlign w:val="bottom"/>
            <w:tcBorders>
              <w:top w:val="single" w:sz="8" w:color="CCFFCC"/>
            </w:tcBorders>
            <w:shd w:val="clear" w:color="auto" w:fill="CCFFCC"/>
          </w:tcPr>
          <w:p>
            <w:pPr>
              <w:spacing w:after="0"/>
              <w:rPr>
                <w:sz w:val="19"/>
                <w:szCs w:val="19"/>
                <w:color w:val="auto"/>
              </w:rPr>
            </w:pPr>
          </w:p>
        </w:tc>
        <w:tc>
          <w:tcPr>
            <w:tcW w:w="158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FFCC"/>
            </w:tcBorders>
            <w:shd w:val="clear" w:color="auto" w:fill="CCFFCC"/>
          </w:tcPr>
          <w:p>
            <w:pPr>
              <w:spacing w:after="0"/>
              <w:rPr>
                <w:sz w:val="19"/>
                <w:szCs w:val="19"/>
                <w:color w:val="auto"/>
              </w:rPr>
            </w:pPr>
          </w:p>
        </w:tc>
        <w:tc>
          <w:tcPr>
            <w:tcW w:w="1600" w:type="dxa"/>
            <w:vAlign w:val="bottom"/>
            <w:tcBorders>
              <w:top w:val="single" w:sz="8" w:color="CCFFCC"/>
            </w:tcBorders>
            <w:shd w:val="clear" w:color="auto" w:fill="CCFFCC"/>
          </w:tcPr>
          <w:p>
            <w:pPr>
              <w:ind w:left="130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0"/>
        </w:trPr>
        <w:tc>
          <w:tcPr>
            <w:tcW w:w="388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bottom w:val="single" w:sz="8" w:color="CCFFCC"/>
            </w:tcBorders>
            <w:vMerge w:val="restart"/>
          </w:tcPr>
          <w:p>
            <w:pPr>
              <w:jc w:val="right"/>
              <w:ind w:right="510"/>
              <w:spacing w:after="0"/>
              <w:rPr>
                <w:sz w:val="20"/>
                <w:szCs w:val="20"/>
                <w:color w:val="auto"/>
              </w:rPr>
            </w:pPr>
            <w:r>
              <w:rPr>
                <w:rFonts w:ascii="Arial" w:cs="Arial" w:eastAsia="Arial" w:hAnsi="Arial"/>
                <w:sz w:val="18"/>
                <w:szCs w:val="18"/>
                <w:color w:val="auto"/>
              </w:rPr>
              <w:t>61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lease our current facility under an operating lease expiring on February 28, 2016. The future minimum non-cancelable lease payments are as follows:</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Year ending December 31, 2016</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 future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79755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72"/>
        <w:spacing w:after="0"/>
        <w:rPr>
          <w:sz w:val="20"/>
          <w:szCs w:val="20"/>
          <w:color w:val="auto"/>
        </w:rPr>
      </w:pPr>
      <w:r>
        <w:rPr>
          <w:rFonts w:ascii="Arial" w:cs="Arial" w:eastAsia="Arial" w:hAnsi="Arial"/>
          <w:sz w:val="18"/>
          <w:szCs w:val="18"/>
          <w:color w:val="auto"/>
        </w:rPr>
        <w:t>Lease</w:t>
      </w:r>
    </w:p>
    <w:p>
      <w:pPr>
        <w:spacing w:after="0" w:line="23" w:lineRule="exact"/>
        <w:rPr>
          <w:sz w:val="20"/>
          <w:szCs w:val="20"/>
          <w:color w:val="auto"/>
        </w:rPr>
      </w:pPr>
    </w:p>
    <w:p>
      <w:pPr>
        <w:ind w:left="252"/>
        <w:spacing w:after="0"/>
        <w:rPr>
          <w:sz w:val="20"/>
          <w:szCs w:val="20"/>
          <w:color w:val="auto"/>
        </w:rPr>
      </w:pPr>
      <w:r>
        <w:rPr>
          <w:rFonts w:ascii="Arial" w:cs="Arial" w:eastAsia="Arial" w:hAnsi="Arial"/>
          <w:sz w:val="18"/>
          <w:szCs w:val="18"/>
          <w:color w:val="auto"/>
        </w:rPr>
        <w:t>Payments</w:t>
      </w:r>
    </w:p>
    <w:p>
      <w:pPr>
        <w:spacing w:after="0" w:line="9" w:lineRule="exact"/>
        <w:rPr>
          <w:sz w:val="20"/>
          <w:szCs w:val="20"/>
          <w:color w:val="auto"/>
        </w:rPr>
      </w:pPr>
    </w:p>
    <w:p>
      <w:pPr>
        <w:ind w:left="612" w:hanging="612"/>
        <w:spacing w:after="0"/>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555,000</w:t>
      </w:r>
    </w:p>
    <w:p>
      <w:pPr>
        <w:spacing w:after="0" w:line="45" w:lineRule="exact"/>
        <w:rPr>
          <w:rFonts w:ascii="Arial" w:cs="Arial" w:eastAsia="Arial" w:hAnsi="Arial"/>
          <w:sz w:val="16"/>
          <w:szCs w:val="16"/>
          <w:color w:val="auto"/>
        </w:rPr>
      </w:pPr>
    </w:p>
    <w:p>
      <w:pPr>
        <w:ind w:left="612"/>
        <w:spacing w:after="0"/>
        <w:rPr>
          <w:rFonts w:ascii="Arial" w:cs="Arial" w:eastAsia="Arial" w:hAnsi="Arial"/>
          <w:sz w:val="16"/>
          <w:szCs w:val="16"/>
          <w:color w:val="auto"/>
        </w:rPr>
      </w:pPr>
      <w:r>
        <w:rPr>
          <w:rFonts w:ascii="Arial" w:cs="Arial" w:eastAsia="Arial" w:hAnsi="Arial"/>
          <w:sz w:val="16"/>
          <w:szCs w:val="16"/>
          <w:color w:val="auto"/>
        </w:rPr>
        <w:t>584,000</w:t>
      </w:r>
    </w:p>
    <w:p>
      <w:pPr>
        <w:spacing w:after="0" w:line="32" w:lineRule="exact"/>
        <w:rPr>
          <w:rFonts w:ascii="Arial" w:cs="Arial" w:eastAsia="Arial" w:hAnsi="Arial"/>
          <w:sz w:val="16"/>
          <w:szCs w:val="16"/>
          <w:color w:val="auto"/>
        </w:rPr>
      </w:pPr>
    </w:p>
    <w:p>
      <w:pPr>
        <w:ind w:left="612"/>
        <w:spacing w:after="0"/>
        <w:rPr>
          <w:rFonts w:ascii="Arial" w:cs="Arial" w:eastAsia="Arial" w:hAnsi="Arial"/>
          <w:sz w:val="16"/>
          <w:szCs w:val="16"/>
          <w:color w:val="auto"/>
        </w:rPr>
      </w:pPr>
      <w:r>
        <w:rPr>
          <w:rFonts w:ascii="Arial" w:cs="Arial" w:eastAsia="Arial" w:hAnsi="Arial"/>
          <w:sz w:val="16"/>
          <w:szCs w:val="16"/>
          <w:color w:val="auto"/>
        </w:rPr>
        <w:t>601,000</w:t>
      </w:r>
    </w:p>
    <w:p>
      <w:pPr>
        <w:spacing w:after="0" w:line="32" w:lineRule="exact"/>
        <w:rPr>
          <w:rFonts w:ascii="Arial" w:cs="Arial" w:eastAsia="Arial" w:hAnsi="Arial"/>
          <w:sz w:val="16"/>
          <w:szCs w:val="16"/>
          <w:color w:val="auto"/>
        </w:rPr>
      </w:pPr>
    </w:p>
    <w:p>
      <w:pPr>
        <w:ind w:left="612"/>
        <w:spacing w:after="0"/>
        <w:rPr>
          <w:rFonts w:ascii="Arial" w:cs="Arial" w:eastAsia="Arial" w:hAnsi="Arial"/>
          <w:sz w:val="16"/>
          <w:szCs w:val="16"/>
          <w:color w:val="auto"/>
        </w:rPr>
      </w:pPr>
      <w:r>
        <w:rPr>
          <w:rFonts w:ascii="Arial" w:cs="Arial" w:eastAsia="Arial" w:hAnsi="Arial"/>
          <w:sz w:val="16"/>
          <w:szCs w:val="16"/>
          <w:color w:val="auto"/>
        </w:rPr>
        <w:t>102,000</w:t>
      </w:r>
    </w:p>
    <w:p>
      <w:pPr>
        <w:spacing w:after="0" w:line="58" w:lineRule="exact"/>
        <w:rPr>
          <w:sz w:val="20"/>
          <w:szCs w:val="20"/>
          <w:color w:val="auto"/>
        </w:rPr>
      </w:pPr>
    </w:p>
    <w:p>
      <w:pPr>
        <w:ind w:left="472" w:hanging="472"/>
        <w:spacing w:after="0"/>
        <w:tabs>
          <w:tab w:leader="none" w:pos="4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1,842,000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543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8" w:space="720"/>
            <w:col w:w="3552"/>
          </w:cols>
          <w:pgMar w:left="240" w:top="905" w:right="239" w:bottom="1440" w:gutter="0" w:footer="0" w:header="0"/>
          <w:type w:val="continuous"/>
        </w:sectPr>
      </w:pPr>
    </w:p>
    <w:p>
      <w:pPr>
        <w:spacing w:after="0" w:line="8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lease requires the Company to pay additional rents by virtue of increases in the base taxes and other costs on the property. Additional rents have not been material. Total rent expense was $619,000 and $145,000 for the year ended December 31, 2012 and the period September 29, 2011 to December 31, 2011, respectively (the Successor periods). Rent expense for the period January 1, 2011 to September 28, 2011 (the Predecessor periods) was $436,000.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w:t>
      </w:r>
    </w:p>
    <w:p>
      <w:pPr>
        <w:spacing w:after="0" w:line="225"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Employment</w:t>
      </w:r>
    </w:p>
    <w:p>
      <w:pPr>
        <w:spacing w:after="0" w:line="2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Contract</w:t>
      </w:r>
    </w:p>
    <w:p>
      <w:pPr>
        <w:spacing w:after="0" w:line="9"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Payments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Year ending December 31, 2013</w:t>
            </w:r>
          </w:p>
        </w:tc>
        <w:tc>
          <w:tcPr>
            <w:tcW w:w="19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2,673,000</w:t>
            </w: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Year ending December 31, 2014</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2,303,000</w:t>
            </w:r>
          </w:p>
        </w:tc>
      </w:tr>
      <w:tr>
        <w:trPr>
          <w:trHeight w:val="223"/>
        </w:trPr>
        <w:tc>
          <w:tcPr>
            <w:tcW w:w="5960" w:type="dxa"/>
            <w:vAlign w:val="bottom"/>
            <w:tcBorders>
              <w:top w:val="single" w:sz="8" w:color="CCFFCC"/>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future minimum employment contract payments</w:t>
            </w:r>
          </w:p>
        </w:tc>
        <w:tc>
          <w:tcPr>
            <w:tcW w:w="19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4,976,000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employment contract payments stated above, the Company’s employment contracts with certain executives and key employees contain performance based bonus provisions. These provisions include bonuses based on the Company achieving revenues in excess of established targets and/or on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accounts for income taxes in accordance with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provision (benefit) for federal, and state and local income taxes in the consolidated statements of operations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Predecessor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2"/>
              </w:rPr>
              <w:t>Period</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Period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29,</w:t>
            </w:r>
          </w:p>
        </w:tc>
        <w:tc>
          <w:tcPr>
            <w:tcW w:w="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2011 to</w:t>
            </w:r>
          </w:p>
        </w:tc>
        <w:tc>
          <w:tcPr>
            <w:tcW w:w="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940" w:type="dxa"/>
            <w:vAlign w:val="bottom"/>
            <w:tcBorders>
              <w:bottom w:val="single" w:sz="8" w:color="CCFFCC"/>
            </w:tcBorders>
          </w:tcPr>
          <w:p>
            <w:pPr>
              <w:spacing w:after="0"/>
              <w:rPr>
                <w:sz w:val="20"/>
                <w:szCs w:val="20"/>
                <w:color w:val="auto"/>
              </w:rPr>
            </w:pPr>
          </w:p>
        </w:tc>
        <w:tc>
          <w:tcPr>
            <w:tcW w:w="208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2012</w:t>
            </w:r>
          </w:p>
        </w:tc>
        <w:tc>
          <w:tcPr>
            <w:tcW w:w="2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2011</w:t>
            </w:r>
          </w:p>
        </w:tc>
        <w:tc>
          <w:tcPr>
            <w:tcW w:w="200" w:type="dxa"/>
            <w:vAlign w:val="bottom"/>
            <w:tcBorders>
              <w:bottom w:val="single" w:sz="8" w:color="CCFF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FFC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92"/>
              </w:rPr>
              <w:t>Current:</w:t>
            </w:r>
          </w:p>
        </w:tc>
        <w:tc>
          <w:tcPr>
            <w:tcW w:w="3000" w:type="dxa"/>
            <w:vAlign w:val="bottom"/>
            <w:tcBorders>
              <w:bottom w:val="single" w:sz="8" w:color="CCFFCC"/>
            </w:tcBorders>
            <w:gridSpan w:val="2"/>
            <w:shd w:val="clear" w:color="auto" w:fill="CCFFCC"/>
          </w:tcPr>
          <w:p>
            <w:pPr>
              <w:spacing w:after="0"/>
              <w:rPr>
                <w:sz w:val="16"/>
                <w:szCs w:val="16"/>
                <w:color w:val="auto"/>
              </w:rPr>
            </w:pPr>
          </w:p>
        </w:tc>
        <w:tc>
          <w:tcPr>
            <w:tcW w:w="208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22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20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124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109,000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State and local</w:t>
            </w:r>
          </w:p>
        </w:tc>
        <w:tc>
          <w:tcPr>
            <w:tcW w:w="20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53,000</w:t>
            </w:r>
          </w:p>
        </w:tc>
        <w:tc>
          <w:tcPr>
            <w:tcW w:w="12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Total current</w:t>
            </w:r>
          </w:p>
        </w:tc>
        <w:tc>
          <w:tcPr>
            <w:tcW w:w="20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162,000</w:t>
            </w:r>
          </w:p>
        </w:tc>
        <w:tc>
          <w:tcPr>
            <w:tcW w:w="2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Borders>
              <w:bottom w:val="single" w:sz="8" w:color="CCFFC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940" w:type="dxa"/>
            <w:vAlign w:val="bottom"/>
            <w:shd w:val="clear" w:color="auto" w:fill="CCFFCC"/>
          </w:tcPr>
          <w:p>
            <w:pPr>
              <w:spacing w:after="0"/>
              <w:rPr>
                <w:sz w:val="18"/>
                <w:szCs w:val="18"/>
                <w:color w:val="auto"/>
              </w:rPr>
            </w:pPr>
          </w:p>
        </w:tc>
        <w:tc>
          <w:tcPr>
            <w:tcW w:w="2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Deferred:</w:t>
            </w: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Federal</w:t>
            </w:r>
          </w:p>
        </w:tc>
        <w:tc>
          <w:tcPr>
            <w:tcW w:w="2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(754,000)</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(178,000)</w:t>
            </w: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State and local</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deferred</w:t>
            </w:r>
          </w:p>
        </w:tc>
        <w:tc>
          <w:tcPr>
            <w:tcW w:w="20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(928,000)</w:t>
            </w:r>
          </w:p>
        </w:tc>
        <w:tc>
          <w:tcPr>
            <w:tcW w:w="12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Total provision (benefit)</w:t>
            </w:r>
          </w:p>
        </w:tc>
        <w:tc>
          <w:tcPr>
            <w:tcW w:w="2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(766,000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62</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color w:val="auto"/>
        </w:rPr>
        <w:t>The reconciliation of income tax computed at the Federal and state statutory rate to the Company’s loss before taxes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15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1"/>
              </w:rPr>
              <w:t>Successor</w:t>
            </w:r>
          </w:p>
        </w:tc>
        <w:tc>
          <w:tcPr>
            <w:tcW w:w="23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1"/>
              </w:rPr>
              <w:t>Successor</w:t>
            </w: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4"/>
              </w:rPr>
              <w:t>Predecesso</w:t>
            </w:r>
            <w:r>
              <w:rPr>
                <w:rFonts w:ascii="Arial" w:cs="Arial" w:eastAsia="Arial" w:hAnsi="Arial"/>
                <w:sz w:val="18"/>
                <w:szCs w:val="18"/>
                <w:color w:val="auto"/>
                <w:w w:val="84"/>
              </w:rPr>
              <w:t>r</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500" w:type="dxa"/>
            <w:vAlign w:val="bottom"/>
            <w:gridSpan w:val="2"/>
          </w:tcPr>
          <w:p>
            <w:pPr>
              <w:jc w:val="center"/>
              <w:ind w:right="370"/>
              <w:spacing w:after="0"/>
              <w:rPr>
                <w:sz w:val="20"/>
                <w:szCs w:val="20"/>
                <w:color w:val="auto"/>
              </w:rPr>
            </w:pPr>
            <w:r>
              <w:rPr>
                <w:rFonts w:ascii="Arial" w:cs="Arial" w:eastAsia="Arial" w:hAnsi="Arial"/>
                <w:sz w:val="18"/>
                <w:szCs w:val="18"/>
                <w:color w:val="auto"/>
                <w:w w:val="88"/>
              </w:rPr>
              <w:t>Year Ended</w:t>
            </w:r>
          </w:p>
        </w:tc>
        <w:tc>
          <w:tcPr>
            <w:tcW w:w="2380" w:type="dxa"/>
            <w:vAlign w:val="bottom"/>
            <w:gridSpan w:val="2"/>
          </w:tcPr>
          <w:p>
            <w:pPr>
              <w:jc w:val="right"/>
              <w:ind w:right="1110"/>
              <w:spacing w:after="0"/>
              <w:rPr>
                <w:sz w:val="20"/>
                <w:szCs w:val="20"/>
                <w:color w:val="auto"/>
              </w:rPr>
            </w:pPr>
            <w:r>
              <w:rPr>
                <w:rFonts w:ascii="Arial" w:cs="Arial" w:eastAsia="Arial" w:hAnsi="Arial"/>
                <w:sz w:val="18"/>
                <w:szCs w:val="18"/>
                <w:color w:val="auto"/>
              </w:rPr>
              <w:t>Period</w:t>
            </w: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January 1, 2011 to</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50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December 31,</w:t>
            </w:r>
          </w:p>
        </w:tc>
        <w:tc>
          <w:tcPr>
            <w:tcW w:w="2380" w:type="dxa"/>
            <w:vAlign w:val="bottom"/>
            <w:gridSpan w:val="2"/>
          </w:tcPr>
          <w:p>
            <w:pPr>
              <w:jc w:val="center"/>
              <w:ind w:right="370"/>
              <w:spacing w:after="0"/>
              <w:rPr>
                <w:sz w:val="20"/>
                <w:szCs w:val="20"/>
                <w:color w:val="auto"/>
              </w:rPr>
            </w:pPr>
            <w:r>
              <w:rPr>
                <w:rFonts w:ascii="Arial" w:cs="Arial" w:eastAsia="Arial" w:hAnsi="Arial"/>
                <w:sz w:val="18"/>
                <w:szCs w:val="18"/>
                <w:color w:val="auto"/>
                <w:w w:val="88"/>
              </w:rPr>
              <w:t>September 28,</w:t>
            </w: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September 28,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400" w:type="dxa"/>
            <w:vAlign w:val="bottom"/>
          </w:tcPr>
          <w:p>
            <w:pPr>
              <w:spacing w:after="0"/>
              <w:rPr>
                <w:sz w:val="20"/>
                <w:szCs w:val="20"/>
                <w:color w:val="auto"/>
              </w:rPr>
            </w:pPr>
          </w:p>
        </w:tc>
        <w:tc>
          <w:tcPr>
            <w:tcW w:w="2380" w:type="dxa"/>
            <w:vAlign w:val="bottom"/>
            <w:gridSpan w:val="2"/>
          </w:tcPr>
          <w:p>
            <w:pPr>
              <w:jc w:val="center"/>
              <w:ind w:right="310"/>
              <w:spacing w:after="0"/>
              <w:rPr>
                <w:sz w:val="20"/>
                <w:szCs w:val="20"/>
                <w:color w:val="auto"/>
              </w:rPr>
            </w:pPr>
            <w:r>
              <w:rPr>
                <w:rFonts w:ascii="Arial" w:cs="Arial" w:eastAsia="Arial" w:hAnsi="Arial"/>
                <w:sz w:val="18"/>
                <w:szCs w:val="18"/>
                <w:color w:val="auto"/>
                <w:w w:val="88"/>
              </w:rPr>
              <w:t>2011 to December 31, 2011</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U.S. statutory federal rate</w:t>
            </w: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shd w:val="clear" w:color="auto" w:fill="CCFFCC"/>
          </w:tcPr>
          <w:p>
            <w:pPr>
              <w:spacing w:after="0"/>
              <w:rPr>
                <w:sz w:val="18"/>
                <w:szCs w:val="18"/>
                <w:color w:val="auto"/>
              </w:rPr>
            </w:pPr>
          </w:p>
        </w:tc>
        <w:tc>
          <w:tcPr>
            <w:tcW w:w="15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34.0%</w:t>
            </w:r>
          </w:p>
        </w:tc>
        <w:tc>
          <w:tcPr>
            <w:tcW w:w="23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34.0%</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State and local, net of federal tax</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6.3%</w:t>
            </w:r>
          </w:p>
        </w:tc>
        <w:tc>
          <w:tcPr>
            <w:tcW w:w="2380" w:type="dxa"/>
            <w:vAlign w:val="bottom"/>
            <w:gridSpan w:val="2"/>
          </w:tcPr>
          <w:p>
            <w:pPr>
              <w:jc w:val="right"/>
              <w:ind w:right="170"/>
              <w:spacing w:after="0"/>
              <w:rPr>
                <w:sz w:val="20"/>
                <w:szCs w:val="20"/>
                <w:color w:val="auto"/>
              </w:rPr>
            </w:pPr>
            <w:r>
              <w:rPr>
                <w:rFonts w:ascii="Arial" w:cs="Arial" w:eastAsia="Arial" w:hAnsi="Arial"/>
                <w:sz w:val="18"/>
                <w:szCs w:val="18"/>
                <w:color w:val="auto"/>
              </w:rPr>
              <w:t>2.5%</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Gain on reduction of contingent obligation</w:t>
            </w:r>
          </w:p>
        </w:tc>
        <w:tc>
          <w:tcPr>
            <w:tcW w:w="15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(72.5)%</w:t>
            </w:r>
          </w:p>
        </w:tc>
        <w:tc>
          <w:tcPr>
            <w:tcW w:w="23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tax adjustment</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6.7%</w:t>
            </w:r>
          </w:p>
        </w:tc>
        <w:tc>
          <w:tcPr>
            <w:tcW w:w="2380" w:type="dxa"/>
            <w:vAlign w:val="bottom"/>
            <w:gridSpan w:val="2"/>
          </w:tcPr>
          <w:p>
            <w:pPr>
              <w:jc w:val="right"/>
              <w:ind w:right="110"/>
              <w:spacing w:after="0"/>
              <w:rPr>
                <w:sz w:val="20"/>
                <w:szCs w:val="20"/>
                <w:color w:val="auto"/>
              </w:rPr>
            </w:pPr>
            <w:r>
              <w:rPr>
                <w:rFonts w:ascii="Arial" w:cs="Arial" w:eastAsia="Arial" w:hAnsi="Arial"/>
                <w:sz w:val="18"/>
                <w:szCs w:val="18"/>
                <w:color w:val="auto"/>
              </w:rPr>
              <w:t>(18.6)%</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Other permanent differences</w:t>
            </w:r>
          </w:p>
        </w:tc>
        <w:tc>
          <w:tcPr>
            <w:tcW w:w="15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3.6%</w:t>
            </w:r>
          </w:p>
        </w:tc>
        <w:tc>
          <w:tcPr>
            <w:tcW w:w="23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net deferred tax liabilities of the Company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40" w:type="dxa"/>
            <w:vAlign w:val="bottom"/>
            <w:tcBorders>
              <w:bottom w:val="single" w:sz="8" w:color="CCFFCC"/>
            </w:tcBorders>
          </w:tcPr>
          <w:p>
            <w:pPr>
              <w:spacing w:after="0"/>
              <w:rPr>
                <w:sz w:val="20"/>
                <w:szCs w:val="20"/>
                <w:color w:val="auto"/>
              </w:rPr>
            </w:pPr>
          </w:p>
        </w:tc>
        <w:tc>
          <w:tcPr>
            <w:tcW w:w="236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tax assets</w:t>
            </w:r>
          </w:p>
        </w:tc>
        <w:tc>
          <w:tcPr>
            <w:tcW w:w="2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Federal state and local net operating loss carryforwards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2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Accrued compensation and other accrued expenses</w:t>
            </w:r>
          </w:p>
        </w:tc>
        <w:tc>
          <w:tcPr>
            <w:tcW w:w="2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19,000</w:t>
            </w: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Royalty advances</w:t>
            </w:r>
          </w:p>
        </w:tc>
        <w:tc>
          <w:tcPr>
            <w:tcW w:w="2360" w:type="dxa"/>
            <w:vAlign w:val="bottom"/>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222,000</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deferred tax assets</w:t>
            </w:r>
          </w:p>
        </w:tc>
        <w:tc>
          <w:tcPr>
            <w:tcW w:w="236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1,796,000</w:t>
            </w:r>
          </w:p>
        </w:tc>
        <w:tc>
          <w:tcPr>
            <w:tcW w:w="1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505,000</w:t>
            </w:r>
          </w:p>
        </w:tc>
        <w:tc>
          <w:tcPr>
            <w:tcW w:w="80" w:type="dxa"/>
            <w:vAlign w:val="bottom"/>
            <w:tcBorders>
              <w:bottom w:val="single" w:sz="8" w:color="CCFFCC"/>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454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Deferred tax liability</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2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Basis difference arising from discounted note payable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(644,000)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w w:val="94"/>
              </w:rPr>
              <w:t>Basis difference arising from intangible assets of acquisition</w:t>
            </w:r>
          </w:p>
        </w:tc>
        <w:tc>
          <w:tcPr>
            <w:tcW w:w="2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(11,371,000)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(10,951,000)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deferred tax liabilities</w:t>
            </w:r>
          </w:p>
        </w:tc>
        <w:tc>
          <w:tcPr>
            <w:tcW w:w="23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(11,973,000</w:t>
            </w:r>
          </w:p>
        </w:tc>
        <w:tc>
          <w:tcPr>
            <w:tcW w:w="12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(11,610,000</w:t>
            </w:r>
          </w:p>
        </w:tc>
        <w:tc>
          <w:tcPr>
            <w:tcW w:w="80" w:type="dxa"/>
            <w:vAlign w:val="bottom"/>
            <w:tcBorders>
              <w:bottom w:val="single" w:sz="8" w:color="CCFFCC"/>
            </w:tcBorders>
          </w:tcPr>
          <w:p>
            <w:pPr>
              <w:jc w:val="right"/>
              <w:spacing w:after="0"/>
              <w:rPr>
                <w:sz w:val="20"/>
                <w:szCs w:val="20"/>
                <w:color w:val="auto"/>
              </w:rPr>
            </w:pPr>
            <w:r>
              <w:rPr>
                <w:rFonts w:ascii="Arial" w:cs="Arial" w:eastAsia="Arial" w:hAnsi="Arial"/>
                <w:sz w:val="8"/>
                <w:szCs w:val="8"/>
                <w:color w:val="auto"/>
                <w:w w:val="73"/>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deferred tax liabilities</w:t>
            </w:r>
          </w:p>
        </w:tc>
        <w:tc>
          <w:tcPr>
            <w:tcW w:w="23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(10,177,000</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(11,105,000</w:t>
            </w:r>
          </w:p>
        </w:tc>
        <w:tc>
          <w:tcPr>
            <w:tcW w:w="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8"/>
                <w:szCs w:val="8"/>
                <w:color w:val="auto"/>
                <w:w w:val="73"/>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60" w:type="dxa"/>
            <w:vAlign w:val="bottom"/>
            <w:vMerge w:val="restart"/>
          </w:tcPr>
          <w:p>
            <w:pPr>
              <w:jc w:val="right"/>
              <w:ind w:right="189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6" w:name="page67"/>
    <w:bookmarkEnd w:id="66"/>
    <w:p>
      <w:pPr>
        <w:ind w:right="280"/>
        <w:spacing w:after="0" w:line="277" w:lineRule="auto"/>
        <w:rPr>
          <w:sz w:val="20"/>
          <w:szCs w:val="20"/>
          <w:color w:val="auto"/>
        </w:rPr>
      </w:pPr>
      <w:r>
        <w:rPr>
          <w:rFonts w:ascii="Arial" w:cs="Arial" w:eastAsia="Arial" w:hAnsi="Arial"/>
          <w:sz w:val="18"/>
          <w:szCs w:val="18"/>
          <w:color w:val="auto"/>
        </w:rPr>
        <w:t>The Successor has available at December 31, 2012 and December 31, 2011, approximately $0 and $851,000, respectively, of unused U.S. federal and state and local net operating loss carryforwards that may be applied against future taxable income.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 Ready-Made, LLC is a limited liability company, and treated as a partnership for income tax reporting purposes. The Internal Revenue Code (“IRC”) provides that any income or loss is passed through to the members for federal and state income tax purposes. Accordingly, neither IM Ready-Made, LLC nor its unincorporated Licensing Business division (the Predecessor) has provided for federal or state income taxes. IM Ready-Made, LLC is subject to New York City unincorporated business tax.</w:t>
      </w:r>
    </w:p>
    <w:p>
      <w:pPr>
        <w:spacing w:after="0" w:line="183" w:lineRule="exact"/>
        <w:rPr>
          <w:sz w:val="20"/>
          <w:szCs w:val="20"/>
          <w:color w:val="auto"/>
        </w:rPr>
      </w:pPr>
    </w:p>
    <w:p>
      <w:pPr>
        <w:ind w:right="9040" w:firstLine="8"/>
        <w:spacing w:after="0" w:line="566" w:lineRule="auto"/>
        <w:tabs>
          <w:tab w:leader="none" w:pos="27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IPX Capital, LLC</w:t>
      </w:r>
    </w:p>
    <w:p>
      <w:pPr>
        <w:spacing w:after="0" w:line="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Old XCel and its wholly owned subsidiary IM Brands, collectively the “Buyers,” entered into the Purchase Agreement with IM Ready, whereby the Buyers acquired certain assets and assumed certain obligations of IM Ready in connection with the Merger and related transactions. IPX Capital, LLC (“IPX”) entered into certain agreements with Old XCel and IM Ready whereby IPX provided services to both Old XCel and IM-Ready. Robert W. D’Loren has controlling ownership over IPX and Old XCel.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IPX Capital, LLC – Xcel Brands, Inc., Due Diligence Service Agreement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IPX and Old XCel entered into a Due Diligence Service Agreement dated December 3, 2010 whereby IPX provided various due diligence tasks relating to the Purchase Agreement including financial review of IM Ready, preparing business plans, financial projections and other documents required in connection with the transaction, advise the Buyers regarding the corporate, legal and financial structure of the transaction and assist the Buyers with the negotiation of documentation relating to the transaction. Market service fees for this type of engagement are typically either a fixed dollar amount or based upon hourly billing rates, plus reimbursement of direct expenses. IPX waived all of its fees it would have otherwise been entitled to, but not reimbursement of its direct expenses. Direct expenses incurred by the Company and paid to IPX related to the acquisition of the Isaac Mizrahi Business was $242,000. The expense was recognized by the Company on September 29, 2011 and reported as acquisition and due diligence costs on the Company’s Consolidated Statement of Operations. There were no transactions with IPX after September 29,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12, 2011, Old XCel entered into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shall amortize the expense in accordance with the revenue earned from the respective licensing agreements on which this payment was based upon.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right="680"/>
        <w:spacing w:after="0" w:line="308" w:lineRule="auto"/>
        <w:rPr>
          <w:sz w:val="20"/>
          <w:szCs w:val="20"/>
          <w:color w:val="auto"/>
        </w:rPr>
      </w:pPr>
      <w:r>
        <w:rPr>
          <w:rFonts w:ascii="Arial" w:cs="Arial" w:eastAsia="Arial" w:hAnsi="Arial"/>
          <w:sz w:val="17"/>
          <w:szCs w:val="17"/>
          <w:color w:val="auto"/>
        </w:rPr>
        <w:t>In addition, Mr. Slater earned $31,000 and $53,000 in fees from procuring license agreements for the Company, separate from the payment under the Amendment, during the year ended December 31, 2012 and period September 29, 2011 to December 3, 2011,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LLC</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12, 2011, Old XCel entered into an agreement with Jones Texas, LLC (the “Jones Texas Agreement”) pursuant to which Old XCel agreed to pay Jones Texas, LLC consulting fees of $30,000 to assist in the restructure of IM Ready’s couture and ready-to-wear apparel businesses, which fees became due and payable to Jones Texas, LLC upon the completion of such restructuring work and closing of the transactions on September 29, 2011, pursuant to the Purchase Agreement. The Jones Texas Agreement was terminated on July 31, 2011, however given the related work had been completed by Jones Texas, LLC, Old XCel recorded a $30,000 obligation to Jones Texas, LLC which obligation was subject to the closing of the acquisition of the Isaac Mizrahi Business. Ed Jones, a principal shareholder and chief executive officer of Jones Texas, LLC was appointed to the Company’s board of directors following the Merger, which appointment became effective on October 17, 2011. The Company has no further obligations under the Jones Texas Agreement. The Company paid Jones Texas, LLC $30,000 following September 29, 2011 and the expense was recognized by the Company on September 29, 2011. There were no transactions under the Jones Texas Agreement after September 29, 2011.</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Jones Texas Inc. (“JT”) entered into a consulting agreement on March 28, 2012 whereby JT shall pursue and introduce licensing opportunities for the Company. Ed Jones, is a principal shareholder and chief executive officer of Jones Texas, Inc. JT procured a license for the Company during 2012 which the Company agreed to remit 15% of the license revenues for the initial term of the license. JT earned $3,000 in fees for the year ended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Earthbound, LLC</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Earthbound entered into a service agreement with Laugh Club, Inc. (“Laugh Club”) on November 6, 2001 whereby Laugh Club engaged Earthbound to provide brand management and design services for mass-merchandised retail products for the Isaac Mizrahi Business (the “Earthbound Agreement”). Isaac Mizrahi, individually, is the controlling member and manager of Laugh Club and IM Ready-Made, LLC. On September 3, 2002, Laugh Club assigned all of the rights and obligations in the Earthbound Agreement to IM Ready. Earthbound has no common ownership, direct or indirect, with either IM Ready or Laugh Club.</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Effective as of September 29, 2011, IM Ready and Earthbound entered into an agreement pursuant to which Earthbound provided transitional services to IM Ready prior to the closing of the Transaction, for which Earthbound received from IM Ready $600,000 in cash on the Closing Date and IM Ready agreed to pay Earthbound a total of $1,500,000 in additional consideration over the next five years (See Note 4, Debt for details). As part of the Transaction, the Company assumed this obligation as part of the consideration for the Acquired Assets (See Note 4, Acquisition of the Isaac Mizrahi Business). Jeff Cohen is a principal owner of Earthbound and was a director of the Company through December 2012. Jack Dweck was elected as a director in December 2012 and is a principal owner of Earthbound. As described in Note 5, the Company extinguished this debt on November 21, 2012.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 2011, Old XCel entered into a licensing agent agreement with Adam Dweck (“AD”) who is an Executive Vice President of Earthbound pursuant to which AD is entitled to a five percent (5%) commission on any royalties we receive under any new license agreements that he procures for us during the initial term of such license agreements. We are obligated to grant to AD 5-year warrants to purchase 12,500 shares of common stock at an exercise price of $5.00 per share, subject to AD generating $0.5 million of accumulated royalties and an additional 5-year warrants to purchase 12,500 shares of common stock at an exercise price of $5.00 per share, subject to AD generating $1.0 million of accumulated royalties. Additionally, AD shall be entitled to receive 5-year warrants to purchase 25,000 shares of common stock priced at the fair market value at the time of issuance, subject to AD generating $2.0 million of accumulated royalties. AD is the son of Jack Dweck, who is a principal of Earthbound and is on the Company’s board of directors. As of December 31, 2012, AD has not met any of the above royalty targets, therefore no warrants have been issued.</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 procured several licenses for the Company earning AD $13,000 and $2,000 in fees for the year ended December 31, 2012 and the period September 29, 2011 to December 31, 2011, respectively. There were no fees earned by AD in the Predecessor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and IM Ready had balances owed between the companies relating to the transition of the Isaac Mizrahi Business and certain payments assigned to IM Ready by QVC under the QVC Agreement. As of December 31, 2012 the Company owed IM Ready $217,000 and as of December 31, 2011 IM Ready owed the Company $85,000. The Company did not earn any revenue or incur any expenses with IM Ready since the Closing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Marisa Gardini, our Executive Vice President of Strategic Planning and Marketing and a director; the Irrevocable Trust of Rose Dempsey; the D’Loren Family Trust; James Haran, our Chief Financial Officer; Seth Burroughs, our Executive Vice President of Business Development and Treasury; and Mark DiSanto, a director, purchased 2; .495; .255; .15; .10 and .25 Units in the Offering for purchase prices of $1,000,000; $247,500; $127,500; $75,000; $50,000; and $125,000. See Note 4 for additional details.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disagreements with the Company’s prior auditors which would require disclosure under Item 304(b) of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Chief Executive Officer and Principal Financial Officer, after evaluating the effectiveness of the Company’s “disclosure controls and procedures” (as defined in the Securities Exchange Act of 1934 (Exchange Act) Rules 13a-15(e) or 15d-15(e)) as of the end of the period covered by this annual report, have concluded that our disclosure controls and procedures are effective at a reasonable assurance level based on their evaluation of these controls and procedures as required by paragraph (b) of Exchange Act Rules 13a-15 or 15d-15.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evaluation of internal control over financial reporting includes using the COSO framework, an integrated framework for the evaluation of internal controls issued by the Committee of Sponsoring Organizations of the Treadway Commission, to identify the risks and control objectives related to the evaluation of our control environment.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evaluation under the frameworks described above our management has concluded that our internal control over financial reporting was effective as of December 31, 2012.</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temporary rules of the Securities and Exchange Commission that permit the Company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was no change in the Company’s internal control over financial reporting (as defined in Exchange Act Rules 13a-15(f) and 15d-15(f)) during the year ended December 31, 2012 that has materially affected, or is reasonably likely to materially affect, the Company’s internal control over financial reporting.</w:t>
      </w:r>
    </w:p>
    <w:p>
      <w:pPr>
        <w:spacing w:after="0" w:line="1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800" w:hanging="782"/>
        <w:spacing w:after="0" w:line="282" w:lineRule="auto"/>
        <w:tabs>
          <w:tab w:leader="none" w:pos="780" w:val="left"/>
        </w:tabs>
        <w:rPr>
          <w:sz w:val="20"/>
          <w:szCs w:val="20"/>
          <w:color w:val="auto"/>
        </w:rPr>
      </w:pPr>
      <w:r>
        <w:rPr>
          <w:rFonts w:ascii="Arial" w:cs="Arial" w:eastAsia="Arial" w:hAnsi="Arial"/>
          <w:sz w:val="18"/>
          <w:szCs w:val="18"/>
          <w:b w:val="1"/>
          <w:bCs w:val="1"/>
          <w:color w:val="auto"/>
        </w:rPr>
        <w:t>Item 10.</w:t>
        <w:tab/>
        <w:t>Directors, Executive Officers, Promoters, Control Persons and Corporate Governance; Compliance with Section 16(a) of the Exchange Act</w:t>
      </w:r>
    </w:p>
    <w:p>
      <w:pPr>
        <w:spacing w:after="0" w:line="27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elected annually by our board of directors. Each executive officer holds office until resignation, is removed by the Board, or a successor is elected and qualified. Directors are elected annually by our stockholders at the annual meeting. Each director holds office until a successor is elected and qualified or earlier resignation or removal.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tcPr>
          <w:p>
            <w:pPr>
              <w:ind w:left="660"/>
              <w:spacing w:after="0"/>
              <w:rPr>
                <w:sz w:val="20"/>
                <w:szCs w:val="20"/>
                <w:color w:val="auto"/>
              </w:rPr>
            </w:pPr>
            <w:r>
              <w:rPr>
                <w:rFonts w:ascii="Arial" w:cs="Arial" w:eastAsia="Arial" w:hAnsi="Arial"/>
                <w:sz w:val="18"/>
                <w:szCs w:val="18"/>
                <w:b w:val="1"/>
                <w:bCs w:val="1"/>
                <w:color w:val="auto"/>
              </w:rPr>
              <w:t>AGE</w:t>
            </w:r>
          </w:p>
        </w:tc>
        <w:tc>
          <w:tcPr>
            <w:tcW w:w="7400" w:type="dxa"/>
            <w:vAlign w:val="bottom"/>
          </w:tcPr>
          <w:p>
            <w:pPr>
              <w:ind w:left="5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Robert W. D’Loren</w:t>
            </w:r>
          </w:p>
        </w:tc>
        <w:tc>
          <w:tcPr>
            <w:tcW w:w="1520" w:type="dxa"/>
            <w:vAlign w:val="bottom"/>
          </w:tcPr>
          <w:p>
            <w:pPr>
              <w:ind w:left="660"/>
              <w:spacing w:after="0"/>
              <w:rPr>
                <w:sz w:val="20"/>
                <w:szCs w:val="20"/>
                <w:color w:val="auto"/>
              </w:rPr>
            </w:pPr>
            <w:r>
              <w:rPr>
                <w:rFonts w:ascii="Arial" w:cs="Arial" w:eastAsia="Arial" w:hAnsi="Arial"/>
                <w:sz w:val="18"/>
                <w:szCs w:val="18"/>
                <w:color w:val="auto"/>
              </w:rPr>
              <w:t>55</w:t>
            </w:r>
          </w:p>
        </w:tc>
        <w:tc>
          <w:tcPr>
            <w:tcW w:w="7400" w:type="dxa"/>
            <w:vAlign w:val="bottom"/>
          </w:tcPr>
          <w:p>
            <w:pPr>
              <w:ind w:left="500"/>
              <w:spacing w:after="0"/>
              <w:rPr>
                <w:sz w:val="20"/>
                <w:szCs w:val="20"/>
                <w:color w:val="auto"/>
              </w:rPr>
            </w:pPr>
            <w:r>
              <w:rPr>
                <w:rFonts w:ascii="Arial" w:cs="Arial" w:eastAsia="Arial" w:hAnsi="Arial"/>
                <w:sz w:val="18"/>
                <w:szCs w:val="18"/>
                <w:color w:val="auto"/>
              </w:rPr>
              <w:t>Chairman of the Board of Directors and Chief Executive Officer and President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James F. Haran</w:t>
            </w:r>
          </w:p>
        </w:tc>
        <w:tc>
          <w:tcPr>
            <w:tcW w:w="1520" w:type="dxa"/>
            <w:vAlign w:val="bottom"/>
          </w:tcPr>
          <w:p>
            <w:pPr>
              <w:ind w:left="660"/>
              <w:spacing w:after="0"/>
              <w:rPr>
                <w:sz w:val="20"/>
                <w:szCs w:val="20"/>
                <w:color w:val="auto"/>
              </w:rPr>
            </w:pPr>
            <w:r>
              <w:rPr>
                <w:rFonts w:ascii="Arial" w:cs="Arial" w:eastAsia="Arial" w:hAnsi="Arial"/>
                <w:sz w:val="18"/>
                <w:szCs w:val="18"/>
                <w:color w:val="auto"/>
              </w:rPr>
              <w:t>52</w:t>
            </w:r>
          </w:p>
        </w:tc>
        <w:tc>
          <w:tcPr>
            <w:tcW w:w="7400" w:type="dxa"/>
            <w:vAlign w:val="bottom"/>
          </w:tcPr>
          <w:p>
            <w:pPr>
              <w:ind w:left="500"/>
              <w:spacing w:after="0"/>
              <w:rPr>
                <w:sz w:val="20"/>
                <w:szCs w:val="20"/>
                <w:color w:val="auto"/>
              </w:rPr>
            </w:pPr>
            <w:r>
              <w:rPr>
                <w:rFonts w:ascii="Arial" w:cs="Arial" w:eastAsia="Arial" w:hAnsi="Arial"/>
                <w:sz w:val="18"/>
                <w:szCs w:val="18"/>
                <w:color w:val="auto"/>
                <w:w w:val="91"/>
              </w:rPr>
              <w:t>Chief Financial Officer and Assistant Secretary, and Principal Financial and Accounting Officer</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Giuseppe “Joe” Falco</w:t>
            </w:r>
          </w:p>
        </w:tc>
        <w:tc>
          <w:tcPr>
            <w:tcW w:w="1520" w:type="dxa"/>
            <w:vAlign w:val="bottom"/>
          </w:tcPr>
          <w:p>
            <w:pPr>
              <w:ind w:left="660"/>
              <w:spacing w:after="0"/>
              <w:rPr>
                <w:sz w:val="20"/>
                <w:szCs w:val="20"/>
                <w:color w:val="auto"/>
              </w:rPr>
            </w:pPr>
            <w:r>
              <w:rPr>
                <w:rFonts w:ascii="Arial" w:cs="Arial" w:eastAsia="Arial" w:hAnsi="Arial"/>
                <w:sz w:val="18"/>
                <w:szCs w:val="18"/>
                <w:color w:val="auto"/>
              </w:rPr>
              <w:t>41</w:t>
            </w:r>
          </w:p>
        </w:tc>
        <w:tc>
          <w:tcPr>
            <w:tcW w:w="7400" w:type="dxa"/>
            <w:vAlign w:val="bottom"/>
          </w:tcPr>
          <w:p>
            <w:pPr>
              <w:ind w:left="500"/>
              <w:spacing w:after="0"/>
              <w:rPr>
                <w:sz w:val="20"/>
                <w:szCs w:val="20"/>
                <w:color w:val="auto"/>
              </w:rPr>
            </w:pPr>
            <w:r>
              <w:rPr>
                <w:rFonts w:ascii="Arial" w:cs="Arial" w:eastAsia="Arial" w:hAnsi="Arial"/>
                <w:sz w:val="18"/>
                <w:szCs w:val="18"/>
                <w:color w:val="auto"/>
              </w:rPr>
              <w:t>President and Chief Operating Officer of the Isaac Mizrahi Brand</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Marisa Gardini</w:t>
            </w:r>
          </w:p>
        </w:tc>
        <w:tc>
          <w:tcPr>
            <w:tcW w:w="1520" w:type="dxa"/>
            <w:vAlign w:val="bottom"/>
          </w:tcPr>
          <w:p>
            <w:pPr>
              <w:ind w:left="660"/>
              <w:spacing w:after="0"/>
              <w:rPr>
                <w:sz w:val="20"/>
                <w:szCs w:val="20"/>
                <w:color w:val="auto"/>
              </w:rPr>
            </w:pPr>
            <w:r>
              <w:rPr>
                <w:rFonts w:ascii="Arial" w:cs="Arial" w:eastAsia="Arial" w:hAnsi="Arial"/>
                <w:sz w:val="18"/>
                <w:szCs w:val="18"/>
                <w:color w:val="auto"/>
              </w:rPr>
              <w:t>45</w:t>
            </w:r>
          </w:p>
        </w:tc>
        <w:tc>
          <w:tcPr>
            <w:tcW w:w="7400" w:type="dxa"/>
            <w:vAlign w:val="bottom"/>
          </w:tcPr>
          <w:p>
            <w:pPr>
              <w:ind w:left="500"/>
              <w:spacing w:after="0"/>
              <w:rPr>
                <w:sz w:val="20"/>
                <w:szCs w:val="20"/>
                <w:color w:val="auto"/>
              </w:rPr>
            </w:pPr>
            <w:r>
              <w:rPr>
                <w:rFonts w:ascii="Arial" w:cs="Arial" w:eastAsia="Arial" w:hAnsi="Arial"/>
                <w:sz w:val="18"/>
                <w:szCs w:val="18"/>
                <w:color w:val="auto"/>
              </w:rPr>
              <w:t>Executive Vice President of Strategic Planning and Marketing and Director</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Seth Burroughs</w:t>
            </w:r>
          </w:p>
        </w:tc>
        <w:tc>
          <w:tcPr>
            <w:tcW w:w="1520" w:type="dxa"/>
            <w:vAlign w:val="bottom"/>
          </w:tcPr>
          <w:p>
            <w:pPr>
              <w:ind w:left="660"/>
              <w:spacing w:after="0"/>
              <w:rPr>
                <w:sz w:val="20"/>
                <w:szCs w:val="20"/>
                <w:color w:val="auto"/>
              </w:rPr>
            </w:pPr>
            <w:r>
              <w:rPr>
                <w:rFonts w:ascii="Arial" w:cs="Arial" w:eastAsia="Arial" w:hAnsi="Arial"/>
                <w:sz w:val="18"/>
                <w:szCs w:val="18"/>
                <w:color w:val="auto"/>
              </w:rPr>
              <w:t>33</w:t>
            </w:r>
          </w:p>
        </w:tc>
        <w:tc>
          <w:tcPr>
            <w:tcW w:w="7400" w:type="dxa"/>
            <w:vAlign w:val="bottom"/>
          </w:tcPr>
          <w:p>
            <w:pPr>
              <w:ind w:left="500"/>
              <w:spacing w:after="0"/>
              <w:rPr>
                <w:sz w:val="20"/>
                <w:szCs w:val="20"/>
                <w:color w:val="auto"/>
              </w:rPr>
            </w:pPr>
            <w:r>
              <w:rPr>
                <w:rFonts w:ascii="Arial" w:cs="Arial" w:eastAsia="Arial" w:hAnsi="Arial"/>
                <w:sz w:val="18"/>
                <w:szCs w:val="18"/>
                <w:color w:val="auto"/>
              </w:rPr>
              <w:t>Executive Vice President of Business Development and Treasury and Secretary</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Jack Dweck</w:t>
            </w:r>
          </w:p>
        </w:tc>
        <w:tc>
          <w:tcPr>
            <w:tcW w:w="1520" w:type="dxa"/>
            <w:vAlign w:val="bottom"/>
          </w:tcPr>
          <w:p>
            <w:pPr>
              <w:ind w:left="660"/>
              <w:spacing w:after="0"/>
              <w:rPr>
                <w:sz w:val="20"/>
                <w:szCs w:val="20"/>
                <w:color w:val="auto"/>
              </w:rPr>
            </w:pPr>
            <w:r>
              <w:rPr>
                <w:rFonts w:ascii="Arial" w:cs="Arial" w:eastAsia="Arial" w:hAnsi="Arial"/>
                <w:sz w:val="18"/>
                <w:szCs w:val="18"/>
                <w:color w:val="auto"/>
              </w:rPr>
              <w:t>57</w:t>
            </w:r>
          </w:p>
        </w:tc>
        <w:tc>
          <w:tcPr>
            <w:tcW w:w="740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Mark DiSanto</w:t>
            </w:r>
          </w:p>
        </w:tc>
        <w:tc>
          <w:tcPr>
            <w:tcW w:w="1520" w:type="dxa"/>
            <w:vAlign w:val="bottom"/>
          </w:tcPr>
          <w:p>
            <w:pPr>
              <w:ind w:left="660"/>
              <w:spacing w:after="0"/>
              <w:rPr>
                <w:sz w:val="20"/>
                <w:szCs w:val="20"/>
                <w:color w:val="auto"/>
              </w:rPr>
            </w:pPr>
            <w:r>
              <w:rPr>
                <w:rFonts w:ascii="Arial" w:cs="Arial" w:eastAsia="Arial" w:hAnsi="Arial"/>
                <w:sz w:val="18"/>
                <w:szCs w:val="18"/>
                <w:color w:val="auto"/>
              </w:rPr>
              <w:t>51</w:t>
            </w:r>
          </w:p>
        </w:tc>
        <w:tc>
          <w:tcPr>
            <w:tcW w:w="740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Todd Slater</w:t>
            </w:r>
          </w:p>
        </w:tc>
        <w:tc>
          <w:tcPr>
            <w:tcW w:w="1520" w:type="dxa"/>
            <w:vAlign w:val="bottom"/>
          </w:tcPr>
          <w:p>
            <w:pPr>
              <w:ind w:left="660"/>
              <w:spacing w:after="0"/>
              <w:rPr>
                <w:sz w:val="20"/>
                <w:szCs w:val="20"/>
                <w:color w:val="auto"/>
              </w:rPr>
            </w:pPr>
            <w:r>
              <w:rPr>
                <w:rFonts w:ascii="Arial" w:cs="Arial" w:eastAsia="Arial" w:hAnsi="Arial"/>
                <w:sz w:val="18"/>
                <w:szCs w:val="18"/>
                <w:color w:val="auto"/>
              </w:rPr>
              <w:t>50</w:t>
            </w:r>
          </w:p>
        </w:tc>
        <w:tc>
          <w:tcPr>
            <w:tcW w:w="740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Edward Jones, III</w:t>
            </w:r>
          </w:p>
        </w:tc>
        <w:tc>
          <w:tcPr>
            <w:tcW w:w="1520" w:type="dxa"/>
            <w:vAlign w:val="bottom"/>
          </w:tcPr>
          <w:p>
            <w:pPr>
              <w:ind w:left="660"/>
              <w:spacing w:after="0"/>
              <w:rPr>
                <w:sz w:val="20"/>
                <w:szCs w:val="20"/>
                <w:color w:val="auto"/>
              </w:rPr>
            </w:pPr>
            <w:r>
              <w:rPr>
                <w:rFonts w:ascii="Arial" w:cs="Arial" w:eastAsia="Arial" w:hAnsi="Arial"/>
                <w:sz w:val="18"/>
                <w:szCs w:val="18"/>
                <w:color w:val="auto"/>
              </w:rPr>
              <w:t>64</w:t>
            </w:r>
          </w:p>
        </w:tc>
        <w:tc>
          <w:tcPr>
            <w:tcW w:w="740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Howard Liebman</w:t>
            </w:r>
          </w:p>
        </w:tc>
        <w:tc>
          <w:tcPr>
            <w:tcW w:w="1520" w:type="dxa"/>
            <w:vAlign w:val="bottom"/>
          </w:tcPr>
          <w:p>
            <w:pPr>
              <w:ind w:left="660"/>
              <w:spacing w:after="0"/>
              <w:rPr>
                <w:sz w:val="20"/>
                <w:szCs w:val="20"/>
                <w:color w:val="auto"/>
              </w:rPr>
            </w:pPr>
            <w:r>
              <w:rPr>
                <w:rFonts w:ascii="Arial" w:cs="Arial" w:eastAsia="Arial" w:hAnsi="Arial"/>
                <w:sz w:val="18"/>
                <w:szCs w:val="18"/>
                <w:color w:val="auto"/>
              </w:rPr>
              <w:t>70</w:t>
            </w:r>
          </w:p>
        </w:tc>
        <w:tc>
          <w:tcPr>
            <w:tcW w:w="7400" w:type="dxa"/>
            <w:vAlign w:val="bottom"/>
          </w:tcPr>
          <w:p>
            <w:pPr>
              <w:ind w:left="5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biographies of each of our officers and directors as of March 15, 2012.</w:t>
      </w:r>
    </w:p>
    <w:p>
      <w:pPr>
        <w:spacing w:after="0" w:line="225"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b w:val="1"/>
          <w:bCs w:val="1"/>
          <w:i w:val="1"/>
          <w:iCs w:val="1"/>
          <w:color w:val="auto"/>
        </w:rPr>
        <w:t xml:space="preserve">Robert W. D’Loren </w:t>
      </w:r>
      <w:r>
        <w:rPr>
          <w:rFonts w:ascii="Arial" w:cs="Arial" w:eastAsia="Arial" w:hAnsi="Arial"/>
          <w:sz w:val="16"/>
          <w:szCs w:val="16"/>
          <w:color w:val="auto"/>
        </w:rPr>
        <w:t>is our Chairman of the Board of Directors, Chief Executive Officer and President. He serves as Chairman and CEO of IPX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LLC and related subsidiaries, a consumer products advisory firm from 2009 to present. Mr. D’Loren previously served as a Director and President and Chief Executive Officer of Nexcen Brands, Inc., a global brand acquisition and management company from June 2006 until August 2008. Prior to NexCen Brands, he served as President and Chief Executive Officer of UCC Capital Corporation (“UCC”) from 2004 to 2006. Prior to forming UCC, Mr. D’Loren served as President and Chief Operating Officer of CAK Universal Credit Corporation, an intellectual property finance company from 1998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2003. Mr. D’Loren’s career debt and equity investments in intellectual property centric and consumer branded products companies exceed $1.0 billion. From 1985 to 1997, Mr. D’Loren served as President and Chief Executive Officer of the D’Loren Organization, an investment and restructuring firm responsible for aggregate transactions in excess of $2 billion. Prior to that, Mr. D’Loren served as an asset manager for Fosterlane Management where he managed in excess of $1.0 billion in assets, and previously served as a manager with Deloitte and Touche, LLP. Mr. D’Loren is a Certified Public Accountant and holds a Master’s degree from Columbia University and a B.S. from New York University.</w:t>
      </w:r>
    </w:p>
    <w:p>
      <w:pPr>
        <w:spacing w:after="0" w:line="19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Mr. D’Loren has served on the board of directors of Iconix Brand Group, Longaberger Company, Business Loan Center, Achilles Track Club International and served as a board advisor to The Athletes Foot and Bill Blass, Ltd.</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James F. Haran </w:t>
      </w:r>
      <w:r>
        <w:rPr>
          <w:rFonts w:ascii="Arial" w:cs="Arial" w:eastAsia="Arial" w:hAnsi="Arial"/>
          <w:sz w:val="18"/>
          <w:szCs w:val="18"/>
          <w:color w:val="auto"/>
        </w:rPr>
        <w:t>is our Chief Financial Officer, principal financial and accounting officer. Mr. Haran served as CFO of IPX Capital, LLC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 consumer products advisory firm from 2009 to 2011. Mr. Haran was the Executive Vice President, Capital Markets for Nexcen Brands, Inc. from 2006 to 2008 and Chief Financial Officer and Chief Credit Officer for UCC Capital Corp.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served his clients on an array of strategic and operational levels. Mr. Haran is a Certified Public Accountant and holds a Bachelor of Science degree from State University of New York at Plattsburgh.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right="40" w:firstLine="648"/>
        <w:spacing w:after="0" w:line="297" w:lineRule="auto"/>
        <w:rPr>
          <w:sz w:val="20"/>
          <w:szCs w:val="20"/>
          <w:color w:val="auto"/>
        </w:rPr>
      </w:pPr>
      <w:r>
        <w:rPr>
          <w:rFonts w:ascii="Arial" w:cs="Arial" w:eastAsia="Arial" w:hAnsi="Arial"/>
          <w:sz w:val="16"/>
          <w:szCs w:val="16"/>
          <w:b w:val="1"/>
          <w:bCs w:val="1"/>
          <w:i w:val="1"/>
          <w:iCs w:val="1"/>
          <w:color w:val="auto"/>
        </w:rPr>
        <w:t xml:space="preserve">Giuseppe “Joe” Falco </w:t>
      </w:r>
      <w:r>
        <w:rPr>
          <w:rFonts w:ascii="Arial" w:cs="Arial" w:eastAsia="Arial" w:hAnsi="Arial"/>
          <w:sz w:val="16"/>
          <w:szCs w:val="16"/>
          <w:color w:val="auto"/>
        </w:rPr>
        <w:t>is our President and Chief Operating Officer of the Isaac Mizrahi Brand. Mr. Falco is a merchant with almost two decades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managing lifestyle brands and business development. Mr. Falco served as President of Misook, a division of HMX from 2009 to 2010,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Marisa Gardini </w:t>
      </w:r>
      <w:r>
        <w:rPr>
          <w:rFonts w:ascii="Arial" w:cs="Arial" w:eastAsia="Arial" w:hAnsi="Arial"/>
          <w:sz w:val="16"/>
          <w:szCs w:val="16"/>
          <w:color w:val="auto"/>
        </w:rPr>
        <w:t>is our Executive Vice President of Strategic Planning and Marketing and member of our board of directors. Since 2006, Ms. Gardini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President and Chief Executive Officer of IM Ready. During this tenure, she has led all segments of the business including managing all media and public relations, licensing, design, and merchandising for Isaac Mizrahi, and has worked to help launch Isaac Mizrahi at Target, LC, and QVC. Ms. Gardini has a B.A. from Barnard College and a J.D. from Brooklyn Law, and currently serves on the board of trustees of Brearley School in New York City.</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is our Executive Vice President of Business Development and Treasury. From 2006 to 2010, Mr. Burroughs served 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NexCen Brands, Inc., where he was responsible for M&amp;A and Strategic initiatives for the Company. At NexCen, Mr. Burroughs oversaw over $300 million in acquisitions. Prior to his role at NexCen, from 2003 to 2006 Mr. Burroughs served as Director of M&amp;A Advisory and Investor Relations at UCC Capital Corp., a financing company specializing in consumer branded products M&amp;A and the securitization of intellectual property, where he worked on an additional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is a graduate of The Wharton School of Business at the University of Pennsylvania.</w:t>
      </w:r>
    </w:p>
    <w:p>
      <w:pPr>
        <w:spacing w:after="0" w:line="1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i w:val="1"/>
          <w:iCs w:val="1"/>
          <w:color w:val="auto"/>
        </w:rPr>
        <w:t xml:space="preserve">Jack Dweck </w:t>
      </w:r>
      <w:r>
        <w:rPr>
          <w:rFonts w:ascii="Arial" w:cs="Arial" w:eastAsia="Arial" w:hAnsi="Arial"/>
          <w:sz w:val="17"/>
          <w:szCs w:val="17"/>
          <w:color w:val="auto"/>
        </w:rPr>
        <w:t>has served as a member of our Board of Directors since November 2012. From 1999 to the present, Mr. Dweck has served as the leader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sales, business development and global brand expansion initiatives for Earthbound, LLC. Earthbound is a full service brand management company. Prior to founding Earthbound in 1999, he served for 30 years as Executive Vice President and eventually Chief Executive Officer of Arrow Trading Company a manufacturing and import company which specialized in Hardlines and held several major licenses including Givenchy, Pierre Cardin, Coca-Cola, Hershey’s, English Leather, Burger King, and Anheuser Busch. Since 1985, he has assisted in the creation of major consumer promotions for Fortune 500 companies such as American Express, Phillip Morris, Time-Warner, Estee Lauder, Calvin Klein, and Kraft-General Foods.</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Mark DiSanto </w:t>
      </w:r>
      <w:r>
        <w:rPr>
          <w:rFonts w:ascii="Arial" w:cs="Arial" w:eastAsia="Arial" w:hAnsi="Arial"/>
          <w:sz w:val="17"/>
          <w:szCs w:val="17"/>
          <w:color w:val="auto"/>
        </w:rPr>
        <w:t>has served as a member of our board of directors since October 2011. From 1988 to the present, Mr. DiSanto has served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Triple Crown Corporation a regional real estate development and investment company with commercial and residential development projects exceeding 7 million square feet. Mr. DiSanto received a degree in business administration from Villanova University’s College of Commerce and Finance, a Juris Doctorate from the University of Toledo College of Law and an MS degree from Columbia University.</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i w:val="1"/>
          <w:iCs w:val="1"/>
          <w:color w:val="auto"/>
        </w:rPr>
        <w:t xml:space="preserve">Todd Slater </w:t>
      </w:r>
      <w:r>
        <w:rPr>
          <w:rFonts w:ascii="Arial" w:cs="Arial" w:eastAsia="Arial" w:hAnsi="Arial"/>
          <w:sz w:val="17"/>
          <w:szCs w:val="17"/>
          <w:color w:val="auto"/>
        </w:rPr>
        <w:t>has served as a member of our board of directors since October 2011. Mr. Slater has a broad and distinguished background in the retail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branded consumer sectors, serving most recently as a Managing Director at Lazard Capital Markets. At Lazard and then Lazard Capital Markets, Mr. Slater led the retail and branded consumer research team from 1996-2011, where he won numerous industry awards, including the #1 “Best Analyst” ranking by Starmine and the Financial Times in Specialty Retail, and the #2 “Best On The Street” in the Clothing and Accessory sectors over a period of many years. Prior to joining Lazard, Mr. Slater was a Vice President and headed the retail and consumer research team at UBS Securities from 1992-1996, where he was ranked by Institutional Investor as #1 “Up and Comer” in the Textile and Apparel space. During this period, Mr. Slater was President of the Textile and Apparel Analyst Group in NY from 1999-2002. Before becoming a top retail and consumer industry analyst, Mr. Slater began his career at Macy’s New York, where he started in the Executive Training Program, rising to senior executive positions in merchandising, buying, and store management from 1984-1992. Mr. Slater received a B.A. in French Literature from Tufts University, and also completed a year of studies at Science Po (Institute d’Etudes Politiques) in Paris, France.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Edward Jones, </w:t>
      </w:r>
      <w:r>
        <w:rPr>
          <w:rFonts w:ascii="Arial" w:cs="Arial" w:eastAsia="Arial" w:hAnsi="Arial"/>
          <w:sz w:val="17"/>
          <w:szCs w:val="17"/>
          <w:color w:val="auto"/>
        </w:rPr>
        <w:t>III has served as a member of our board of directors since October 2011. In a career that has spanned over thirty-five years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fashion industry, Mr. Jones has been recognized as a marketing and brand visionary. Mr. Jones began his career in retail in Dallas, Texas with Hartmarx. Mr. Jones then moved on to Neiman Marcus where he spent five years in various men’s merchandising and buying positions. In his career Edward Jones has held positions in major companies that include CEO (Perry Ellis Men’s, Women’s &amp; International; Segrets Inc., GM Design Inc.), President (Calvin Klein, Esprit, Haggar Women’s), Director International Licensing (Perry Ellis, Calvin Klein), Creative Director (Haggar Women’s), Chief Merchandising Officer (Haggar Men’s &amp; Women’s). For the past four years, he has been active as an advisor in the fashion apparel, accessory and footwear markets in numerous brand and company strategies and M&amp;A assignments. During this period he has participated in the review and analysis of over sixty companies or brands. He has advised on brand and business model strategy in over half of these companies.</w:t>
      </w:r>
    </w:p>
    <w:p>
      <w:pPr>
        <w:spacing w:after="0" w:line="179" w:lineRule="exact"/>
        <w:rPr>
          <w:sz w:val="20"/>
          <w:szCs w:val="20"/>
          <w:color w:val="auto"/>
        </w:rPr>
      </w:pPr>
    </w:p>
    <w:p>
      <w:pPr>
        <w:jc w:val="both"/>
        <w:ind w:right="240" w:firstLine="648"/>
        <w:spacing w:after="0" w:line="276" w:lineRule="auto"/>
        <w:rPr>
          <w:sz w:val="20"/>
          <w:szCs w:val="20"/>
          <w:color w:val="auto"/>
        </w:rPr>
      </w:pPr>
      <w:r>
        <w:rPr>
          <w:rFonts w:ascii="Arial" w:cs="Arial" w:eastAsia="Arial" w:hAnsi="Arial"/>
          <w:sz w:val="17"/>
          <w:szCs w:val="17"/>
          <w:b w:val="1"/>
          <w:bCs w:val="1"/>
          <w:i w:val="1"/>
          <w:iCs w:val="1"/>
          <w:color w:val="auto"/>
        </w:rPr>
        <w:t xml:space="preserve">Howard Liebman </w:t>
      </w:r>
      <w:r>
        <w:rPr>
          <w:rFonts w:ascii="Arial" w:cs="Arial" w:eastAsia="Arial" w:hAnsi="Arial"/>
          <w:sz w:val="17"/>
          <w:szCs w:val="17"/>
          <w:color w:val="auto"/>
        </w:rPr>
        <w:t>has served as a member of our board of directors since October 2011. From 2008 to the present, Mr. Liebman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and member of the Executive Committee of Federation Employment and Guidance Services (FEGS) and as the chairman of its audit committee. FEGS is a large not-for-profit health and human services organization providing a vast array of services to individuals and families throughout the greater New York area. Mr. Liebman was a director of Sharper Image Corporation and served as chairman of its audit committee from 2006 to 2008. In February 2008, Sharper Image filed for bankruptcy under Chapter 11 of Title 11 of the Bankruptcy Code.</w:t>
      </w:r>
    </w:p>
    <w:p>
      <w:pPr>
        <w:spacing w:after="0" w:line="173"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Howard Liebman was President, Chief Operating Officer and a director of Hobart West Group, a provider of national court reporting and litigation support services from 2007 until the sale of the business in 2008. Mr. Liebman served as a consultant to Hobart from 2006 to 2007. Mr. Liebman was President, Chief Financial Officer and director of Shorewood Packaging Corporation, a New York Stock Exchange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 nominees and directors have a reputation for honesty, integrity, and adherence to high ethical standards. They each have demonstrated business acumen, leadership and an ability to exercise sound judgment, as well as a commitment to serve XCel and our Board. The following descriptions demonstrate the qualifications of each director:</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Robert W. D’Loren </w:t>
      </w:r>
      <w:r>
        <w:rPr>
          <w:rFonts w:ascii="Arial" w:cs="Arial" w:eastAsia="Arial" w:hAnsi="Arial"/>
          <w:sz w:val="17"/>
          <w:szCs w:val="17"/>
          <w:color w:val="auto"/>
        </w:rPr>
        <w:t>has extensive experience in and knowledge of the licensing and commercial business industries and financial markets.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and experience, including his experience as director, president and chief executive officer of a global brand management company provide us with valuable insight to formulate and create the Company’s acquisition strategy and how to manage and license acquired brands.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Marisa Gardini </w:t>
      </w:r>
      <w:r>
        <w:rPr>
          <w:rFonts w:ascii="Arial" w:cs="Arial" w:eastAsia="Arial" w:hAnsi="Arial"/>
          <w:sz w:val="18"/>
          <w:szCs w:val="18"/>
          <w:color w:val="auto"/>
        </w:rPr>
        <w:t>has operated and co-owned the Isaac Mizrahi Brand for over nine years and has a unique knowledge of the brand and its position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marketplace.</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Jack Dweck </w:t>
      </w:r>
      <w:r>
        <w:rPr>
          <w:rFonts w:ascii="Arial" w:cs="Arial" w:eastAsia="Arial" w:hAnsi="Arial"/>
          <w:sz w:val="16"/>
          <w:szCs w:val="16"/>
          <w:color w:val="auto"/>
        </w:rPr>
        <w:t>has a strong retail industry background with experience in licensing, consumer brand management and merchandising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relationships with various retailers. His background includes the management of the Isaac Mizrahi Brand through his positions with Earthbound.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b w:val="1"/>
          <w:bCs w:val="1"/>
          <w:i w:val="1"/>
          <w:iCs w:val="1"/>
          <w:color w:val="auto"/>
        </w:rPr>
        <w:t xml:space="preserve">Mark DiSanto </w:t>
      </w:r>
      <w:r>
        <w:rPr>
          <w:rFonts w:ascii="Arial" w:cs="Arial" w:eastAsia="Arial" w:hAnsi="Arial"/>
          <w:sz w:val="18"/>
          <w:szCs w:val="18"/>
          <w:color w:val="auto"/>
        </w:rPr>
        <w:t>has experience in building and running businesses and brings his strong business acumen to the Board.</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Todd Slater </w:t>
      </w:r>
      <w:r>
        <w:rPr>
          <w:rFonts w:ascii="Arial" w:cs="Arial" w:eastAsia="Arial" w:hAnsi="Arial"/>
          <w:sz w:val="18"/>
          <w:szCs w:val="18"/>
          <w:color w:val="auto"/>
        </w:rPr>
        <w:t>has extensive knowledge and experience in the retail and branded consumer sector industry, through his senior positions at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firms, focusing on retail and consumer research, and his senior positions at Macy’s. Mr. Slater also brings relationships with various retailers and businesses in the consumer products markets.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Edward Jones III </w:t>
      </w:r>
      <w:r>
        <w:rPr>
          <w:rFonts w:ascii="Arial" w:cs="Arial" w:eastAsia="Arial" w:hAnsi="Arial"/>
          <w:sz w:val="17"/>
          <w:szCs w:val="17"/>
          <w:color w:val="auto"/>
        </w:rPr>
        <w:t>brings over 35 years of experience in the fashion industry, as well as relationships in the fashion and apparel industries.</w:t>
      </w:r>
    </w:p>
    <w:p>
      <w:pPr>
        <w:spacing w:after="0" w:line="23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b w:val="1"/>
          <w:bCs w:val="1"/>
          <w:i w:val="1"/>
          <w:iCs w:val="1"/>
          <w:color w:val="auto"/>
        </w:rPr>
        <w:t xml:space="preserve">Howard Liebman </w:t>
      </w:r>
      <w:r>
        <w:rPr>
          <w:rFonts w:ascii="Arial" w:cs="Arial" w:eastAsia="Arial" w:hAnsi="Arial"/>
          <w:sz w:val="17"/>
          <w:szCs w:val="17"/>
          <w:color w:val="auto"/>
        </w:rPr>
        <w:t>brings extensive knowledge of accounting, the capital markets, mergers and acquisitions, financial reporting and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from his extensive public accounting experience and prior service as Chief Financial Officer of a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Isaac Mizrahi </w:t>
      </w:r>
      <w:r>
        <w:rPr>
          <w:rFonts w:ascii="Arial" w:cs="Arial" w:eastAsia="Arial" w:hAnsi="Arial"/>
          <w:sz w:val="17"/>
          <w:szCs w:val="17"/>
          <w:color w:val="auto"/>
        </w:rPr>
        <w:t>is Chief Design Officer for the Isaac Mizrahi Brand. Mr. Mizrahi founded the Isaac Mizrahi New York brand in 1987 and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President and Chief Designer of IM Ready. As Chief Design Officer, Mr. Mizrahi is responsible for design and design direction for all brands under the Isaac Mizrahi Business, including the Isaac Mizrahi New York brand, which is still sold in Bergdorf Goodman and other luxury retailers. In December 2009, Mr. Mizrahi launched his lifestyle collection, Isaac Mizrahi Live! on QVC for IM Ready. Under IM Ready’s design agreement with LC, Mr. Mizrahi also serves as the creative director for the Liz Claiborne New York line at QVC. Previously, Mr. Mizrahi teamed with Target in 2003 to launch an innovative collection of chic and stylish clothing and accessories for women. Mr. Mizrahi has received four awards from the Council of Fashion Designers of America (CFDA), including two awards for Designer of the Year and an award in 1996 for the documentary “Unzipped”. Mr. Mizrahi’s media presence includes publishing the book “How to Have Style” in 2008, and appearances and roles in films and television shows, including “Sex and the City,” “Ugly Betty” and “Celebrity Jeopardy” and has hosted his own series, Bravo’s “The Fashion Show,” as well as series on the Oxygen Network and the Style Network. Mr. Mizrahi is also the host of the media program Project Runway All-Stars which began airing in the first quarter of 2012. Mr. Mizrahi has also designed costumes and/or directed productions for the Metropolitan Opera, the Mark Morris Dance Company, the Opera Theatre of St. Louis, and the Brooklyn Youth Choir, and has served on the board of directors of and is actively involved with the Good Shepherd Services, which provides services to underserviced children.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Executives and Key Employees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Robert W. D’Loren. </w:t>
      </w:r>
      <w:r>
        <w:rPr>
          <w:rFonts w:ascii="Arial" w:cs="Arial" w:eastAsia="Arial" w:hAnsi="Arial"/>
          <w:sz w:val="16"/>
          <w:szCs w:val="16"/>
          <w:color w:val="auto"/>
        </w:rPr>
        <w:t>On September 22, 2011, and effective as of September 16, 2011, the Company entered into a three-year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Robert D’Loren for him to serve as our Chief Executive Officer. Additionally, we shall use our reasonable best efforts to cause Mr. D’Loren to be nominated to our Board of Directors and to serve as our Chairman of the Board during the term of the agreement. Following the initial three-year term, the agreement will be automatically renewed for one year terms thereafter unless either party gives written notice of intent to terminate at least 90 days prior to such termination. Mr. D’Loren’s salary for the first year, starting on September 16, 2011, was $240,000, for the second year, it is $530,000 and for third year it is $580,000. The board or the compensation committee may approve increases (but not decreases) from time to time. Following the initial three-year term, the base salary shall be reviewed at least annually. We will also reimburse Mr. D’Loren for up to $50,000 of undocumented expenses each calendar year. In addition, Mr. D’Loren will receive an allowance for an automobile appropriate for his level of position, and the Company shall pay (in addition to monthly lease or other payments) all of the related expenses for gasoline, insurance, maintenance, repairs or any other costs with Mr. D’Loren’s automobile.</w:t>
      </w:r>
    </w:p>
    <w:p>
      <w:pPr>
        <w:spacing w:after="0" w:line="16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i w:val="1"/>
          <w:iCs w:val="1"/>
          <w:color w:val="auto"/>
        </w:rPr>
        <w:t>Bonus</w:t>
      </w:r>
      <w:r>
        <w:rPr>
          <w:rFonts w:ascii="Arial" w:cs="Arial" w:eastAsia="Arial" w:hAnsi="Arial"/>
          <w:sz w:val="16"/>
          <w:szCs w:val="16"/>
          <w:color w:val="auto"/>
        </w:rPr>
        <w:t>. Mr. D’ Loren is eligible for an annual cash bonus of up to $450,000 for the 2012 calendar year and $1,500,000 for any calendar year</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2013, based on annual EBITDA targets. The cash bonus is a portion of five percent of all income generated by the trademarks and other intellectual property owned by the Company (“IP Income”) in excess of $8,000,000 earned and received by us, in accordance with the following schedule:</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Annual Level of Target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EBITDA Achieved for each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fiscal year ending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 and 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Percentage of 5%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lIP Income earned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 excess of $8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00" w:lineRule="exact"/>
        <w:rPr>
          <w:sz w:val="20"/>
          <w:szCs w:val="20"/>
          <w:color w:val="auto"/>
        </w:rPr>
      </w:pPr>
    </w:p>
    <w:p>
      <w:pPr>
        <w:sectPr>
          <w:pgSz w:w="11900" w:h="16838" w:orient="portrait"/>
          <w:cols w:equalWidth="0" w:num="2">
            <w:col w:w="8140" w:space="720"/>
            <w:col w:w="2560"/>
          </w:cols>
          <w:pgMar w:left="240" w:top="909" w:right="2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0%-49%</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50%-69%</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70%-89%</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90%-100%</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If Mr. D’Loren’s employment is terminated by us without “cause”, or if Mr. D’Loren resigns with “good reason”, or if we fail to renew</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then Mr. D’Loren will be entitled to receive his unpaid base salary and cash bonuses through the termination date and an amount equal to the base salary in effect on the termination date for the longer of two years from the termination date and the remainder of the then-current term. Additionally, Mr.</w:t>
      </w:r>
    </w:p>
    <w:p>
      <w:pPr>
        <w:ind w:right="100"/>
        <w:spacing w:after="0" w:line="261" w:lineRule="auto"/>
        <w:rPr>
          <w:sz w:val="20"/>
          <w:szCs w:val="20"/>
          <w:color w:val="auto"/>
        </w:rPr>
      </w:pPr>
      <w:r>
        <w:rPr>
          <w:rFonts w:ascii="Arial" w:cs="Arial" w:eastAsia="Arial" w:hAnsi="Arial"/>
          <w:sz w:val="18"/>
          <w:szCs w:val="18"/>
          <w:color w:val="auto"/>
        </w:rPr>
        <w:t>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8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Mr. D’Loren’s employment is terminated within twelve months following a change of control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cause or by Mr. D’Loren with good reason, he would be entitled to a lump sum payment equal to two times (i) his base salary in effect on the termination date for the longer of two years from the termination date and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On September 29, 2011, Mr. D’Loren received a warrant to purchase 239,250 shares of our common stock with an exercise price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$5.00 per share. The warrant vested and became exercisable on September 29, 2011 and has a ten-year term. The shares of common stock underlying the warrant have customary piggy back registration and cashless exercise rights.</w:t>
      </w:r>
    </w:p>
    <w:p>
      <w:pPr>
        <w:spacing w:after="0" w:line="1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Non-Competition and Non-Solicitation</w:t>
      </w:r>
      <w:r>
        <w:rPr>
          <w:rFonts w:ascii="Arial" w:cs="Arial" w:eastAsia="Arial" w:hAnsi="Arial"/>
          <w:sz w:val="17"/>
          <w:szCs w:val="17"/>
          <w:color w:val="auto"/>
        </w:rPr>
        <w:t>. During the term of his employment by the Company and for a one-year period after the termination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75" w:name="page76"/>
    <w:bookmarkEnd w:id="75"/>
    <w:p>
      <w:pPr>
        <w:ind w:right="20" w:firstLine="648"/>
        <w:spacing w:after="0" w:line="253" w:lineRule="auto"/>
        <w:rPr>
          <w:sz w:val="20"/>
          <w:szCs w:val="20"/>
          <w:color w:val="auto"/>
        </w:rPr>
      </w:pPr>
      <w:r>
        <w:rPr>
          <w:rFonts w:ascii="Arial" w:cs="Arial" w:eastAsia="Arial" w:hAnsi="Arial"/>
          <w:sz w:val="17"/>
          <w:szCs w:val="17"/>
          <w:b w:val="1"/>
          <w:bCs w:val="1"/>
          <w:i w:val="1"/>
          <w:iCs w:val="1"/>
          <w:color w:val="auto"/>
        </w:rPr>
        <w:t>James Haran</w:t>
      </w:r>
      <w:r>
        <w:rPr>
          <w:rFonts w:ascii="Arial" w:cs="Arial" w:eastAsia="Arial" w:hAnsi="Arial"/>
          <w:sz w:val="17"/>
          <w:szCs w:val="17"/>
          <w:color w:val="auto"/>
        </w:rPr>
        <w:t>. On September 22, 2011, and effective as of September 16, 2011 and, amended and restated on February 15, 2012 (the “Amended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Restated Agreement”) and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amendment to the Amended and Restated Agreement on December 16 2012 , the Company entered into a two-year employment agreement with James Haran for him to serve as our Chief Financial Officer. Following the initial two-year term, the agreement will be automatically renewed for one year terms thereafter unless either party gives written notice of intent to terminate at least 30 days prior to such termination. Mr. Haran’s salary for the first year starting on September 16, 2011 is $225,000 per year and for the second year it is $250,000. The board or the compensation committee may approve increases (but not decreases) from time to time. Following the initial two year term, the base salary shall be reviewed at least annually. In addition, Mr. Haran will receive a car allowance of $1,500 per month.</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Mr. Haran is eligible for a cash bonus of up to $50,000 based upon the following: 50% of the $50,000 cash bonus shall be paid to Mr. Haran</w:t>
      </w:r>
      <w:r>
        <w:rPr>
          <w:rFonts w:ascii="Arial" w:cs="Arial" w:eastAsia="Arial" w:hAnsi="Arial"/>
          <w:sz w:val="18"/>
          <w:szCs w:val="18"/>
          <w:i w:val="1"/>
          <w:iCs w:val="1"/>
          <w:color w:val="auto"/>
        </w:rPr>
        <w:t xml:space="preserve"> </w:t>
      </w:r>
      <w:r>
        <w:rPr>
          <w:rFonts w:ascii="Arial" w:cs="Arial" w:eastAsia="Arial" w:hAnsi="Arial"/>
          <w:sz w:val="18"/>
          <w:szCs w:val="18"/>
          <w:color w:val="auto"/>
        </w:rPr>
        <w:t>if we achieve at least 70% of our budgeted EBITDA and 100% of the $50,000 cash bonus shall be paid to Mr. Haran if we achieve at least 90% of our budgeted EBITDA.</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 If Mr. Haran’s employment is terminated by us without “cause”, or if Mr. Haran resigns with “good reason”, or if we fail to renew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then Mr. Haran will be entitled to receive his unpaid base salary and cash bonuses through the termination date and an amount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In the event Mr. Haran’s employment is terminated within twelve months following a change of control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w:t>
      </w:r>
    </w:p>
    <w:p>
      <w:pPr>
        <w:spacing w:after="0" w:line="18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On the September 29, 2011, Mr. Haran received a warrant to purchase 49,500 shares of our common stock with an exercise price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$5.00 per share. The warrant vested and became exercisable on the September 29, 2011 and has a ten-year term. The shares of common stock underlying the warrant have customary piggy back registration and cashless exercise rights.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his employment by the Company and for a one-year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right="40" w:firstLine="648"/>
        <w:spacing w:after="0" w:line="298" w:lineRule="auto"/>
        <w:rPr>
          <w:sz w:val="20"/>
          <w:szCs w:val="20"/>
          <w:color w:val="auto"/>
        </w:rPr>
      </w:pPr>
      <w:r>
        <w:rPr>
          <w:rFonts w:ascii="Arial" w:cs="Arial" w:eastAsia="Arial" w:hAnsi="Arial"/>
          <w:sz w:val="16"/>
          <w:szCs w:val="16"/>
          <w:b w:val="1"/>
          <w:bCs w:val="1"/>
          <w:i w:val="1"/>
          <w:iCs w:val="1"/>
          <w:color w:val="auto"/>
        </w:rPr>
        <w:t>Giuseppe “Joe” Falco</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August 1, 2011, and effective as of September 16, 2011, and as Amended and Restated as of February, 15, 2012,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entered into a two-year employment agreement with Joe Falco for him to serve as the President, Chief Operating Officer of the Izaac Mizrahi Brand. Following the initial two-year term, the agreement will be automatically be renewed for a one year term, unless either party gives written notice of intent to terminate at least 30 days prior to such termination. Mr. Falco’s salary for the first year starting on the Closing Date is $350,000 per year. The board or the compensation committee may approve increases (but not decreases) from time to time, and his base salary shall be reviewed at least annually.</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Mr. Falco is eligible for a cash bonus of up to $50,000 based upon the following: one half of one percent (0.5%) of all Isaac Mizrahi Live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excess of $60 million on QVC as reported by QVC to the Company.</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 If Mr. Falco’s employment is terminated by us without “cause”, or if Mr. Falco resigns with “good reason”, or if we fail to renew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then Mr. Falco will be entitled to receive his unpaid base salary and cash bonuses through the termination date and an amount equal to his base salary in effect on the termination date for six months. Mr. Falco would also be entitled to continue to participate in our group medical plan, subject to certain conditions, for a period of six months from the termination date.</w:t>
      </w:r>
    </w:p>
    <w:p>
      <w:pPr>
        <w:spacing w:after="0" w:line="18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On the Closing Date, Mr. Falco received a warrant to purchase 100,000 shares of our common stock with an exercise price equal to $5.00</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The warrant shall vest one half on the first anniversary of the Closing Date, and one half on the second anniversary of the Closing Date. The warrant has a ten-year term. The shares of common stock underlying the warrant have customary piggy back registration and cashless exercise rights.</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his employment by the Company and for a six-month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six-month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Such non-solicitation provisions, however, do not apply to any customer, supplier, licensee or other business relation of the Company or any of its subsidiaries with whom Mr. Falco had a prior business relationship before he started performing services for the Company.</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i w:val="1"/>
          <w:iCs w:val="1"/>
          <w:color w:val="auto"/>
        </w:rPr>
        <w:t>Marisa Gardini</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May 19, 2011 and effective on the September 29, 2011, and as Amended and Restated as of February, 15, 2012,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entered into a three-year employment agreement with Marisa Gardini such that she will serve as the Senior Vice President of Strategic Planning of the Company. Following the initial three-year term, the agreement will be renewable, at the option of the Company, for two successive one-year periods on the same terms and conditions as those in effect during the third year of the initial term. Thereafter, the agreement will renew automatically for one-year periods, unless either party gives written notice of intent to terminate at least 30 days prior to such termination. Ms. Gardini’s salary will be $250,000, $250,000 and $500,000 per annum, respectively, in the first three successive 12-month periods following the effective date of the agreement. The Board or the compensation committee may approve increases (but not decreases) in Ms. Gardini’s base salary from time to time, and it shall be subject to review on the third anniversary of Ms. Gardini’s employment agreement and each anniversary thereafter during the term of the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ind w:right="40" w:firstLine="648"/>
        <w:spacing w:after="0" w:line="277" w:lineRule="auto"/>
        <w:rPr>
          <w:sz w:val="20"/>
          <w:szCs w:val="20"/>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Ms. Gardini has the right to participate in all employee bonus plans offered to other executives and senior management and such other bonus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as the Board, or the compensation committee of the Board, may approve in its sole discretion.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 If Ms. Gardini’s employment is terminated by us without “cause”, or if Ms. Gardini resigns with “good reason”, or if we fail to renew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then Ms. Gardini will be entitled to receive her unpaid base salary and cash bonuses through the termination date and an amount equal to her base salary in effect on the termination date for the longer of six months and the remainder of the then-current term, but in no event exceeding 18 months. Ms. Gardini would also be entitled to continue to participate in our group medical plan, subject to certain conditions, for the same period of time for which she would continue to receive her base salary pursuant to the terms of the agreement.</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her employment by the Company and for a one-year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(unless Ms. Gardini’s employment was terminated without cause or was terminated by him for good reason), Ms. Gardini may not permit her name to be used by or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her employment and for a one-year period after the termination of such employment, Ms. Gardini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6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i w:val="1"/>
          <w:iCs w:val="1"/>
          <w:color w:val="auto"/>
        </w:rPr>
        <w:t>Seth Burroughs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On September 22, 2011, and effective as of September 16, 2011 and, amended and restated on February 15, 2012 (the “Amended</w:t>
      </w:r>
    </w:p>
    <w:p>
      <w:pPr>
        <w:spacing w:after="0" w:line="212" w:lineRule="auto"/>
        <w:rPr>
          <w:sz w:val="20"/>
          <w:szCs w:val="20"/>
          <w:color w:val="auto"/>
        </w:rPr>
      </w:pPr>
      <w:r>
        <w:rPr>
          <w:rFonts w:ascii="Arial" w:cs="Arial" w:eastAsia="Arial" w:hAnsi="Arial"/>
          <w:sz w:val="17"/>
          <w:szCs w:val="17"/>
          <w:color w:val="auto"/>
        </w:rPr>
        <w:t>and Restated Agreement”) and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amendment to the Amended and Restated Agreement on December 16 2012, entered into a two-year employment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Seth Burroughs for him to serve as our Executive Vice President – Business Development and Treasury. Following the initial two-year term,</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agreement will be automatically renewed for one year terms thereafter unless either party gives written notice of intent to terminate at least 30 days prior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such termination. Mr. Burroughs’ salary for the first year commencing on the September 16, 2011 is $175,000, $200,000 for the second year and it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$225,000 effective December 16, 2012. The Board or the compensation committee may approve increases (but not decreases) from time to time. Following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initial two-year term, the base salary shall be reviewed at least annually.</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Mr. Burroughs is eligible for a cash bonus of up to $50,000 based upon the following: 50% of the $50,000 cash bonus shall be paid to Mr.</w:t>
      </w:r>
      <w:r>
        <w:rPr>
          <w:rFonts w:ascii="Arial" w:cs="Arial" w:eastAsia="Arial" w:hAnsi="Arial"/>
          <w:sz w:val="18"/>
          <w:szCs w:val="18"/>
          <w:i w:val="1"/>
          <w:iCs w:val="1"/>
          <w:color w:val="auto"/>
        </w:rPr>
        <w:t xml:space="preserve"> </w:t>
      </w:r>
      <w:r>
        <w:rPr>
          <w:rFonts w:ascii="Arial" w:cs="Arial" w:eastAsia="Arial" w:hAnsi="Arial"/>
          <w:sz w:val="18"/>
          <w:szCs w:val="18"/>
          <w:color w:val="auto"/>
        </w:rPr>
        <w:t>Burroughs if we achieve at least 70% of our budgeted EBITDA and 100% of the $50,000 cash bonus shall be paid to Mr. Burroughs if we achieve at least 90% of our budgeted EBITDA.</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 If Mr. Burroughs’ employment is terminated by us without “cause”, or if Mr. Burroughs resigns with “good reason”, or if we fail to</w:t>
      </w:r>
      <w:r>
        <w:rPr>
          <w:rFonts w:ascii="Arial" w:cs="Arial" w:eastAsia="Arial" w:hAnsi="Arial"/>
          <w:sz w:val="18"/>
          <w:szCs w:val="18"/>
          <w:i w:val="1"/>
          <w:iCs w:val="1"/>
          <w:color w:val="auto"/>
        </w:rPr>
        <w:t xml:space="preserve"> </w:t>
      </w:r>
      <w:r>
        <w:rPr>
          <w:rFonts w:ascii="Arial" w:cs="Arial" w:eastAsia="Arial" w:hAnsi="Arial"/>
          <w:sz w:val="18"/>
          <w:szCs w:val="18"/>
          <w:color w:val="auto"/>
        </w:rPr>
        <w:t>renew the term, then Mr. Burroughs will be entitled to receive his unpaid base salary and cash bonuses through the termination date and an amount equal to his base salary in effect on the termination date for 12 months. Mr. Burroughs would also be entitled to continue to participate in our group medical plan, subject to certain conditions, for a period of 12 months from the termination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right="240" w:firstLine="648"/>
        <w:spacing w:after="0" w:line="264"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On the Closing Date, Mr. Burroughs received a warrant to purchase 50,000 shares of our common stock with an exercise price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$5.00 per share. The warrant vested and became exercisable on the Closing Date and has a ten-year term. The shares of common stock underlying the warrant have customary piggy back registration and cashless exercise rights.</w:t>
      </w:r>
    </w:p>
    <w:p>
      <w:pPr>
        <w:spacing w:after="0" w:line="18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his employment by the Company and for a one-year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i w:val="1"/>
          <w:iCs w:val="1"/>
          <w:color w:val="auto"/>
        </w:rPr>
        <w:t xml:space="preserve">Isaac Mizrahi. </w:t>
      </w:r>
      <w:r>
        <w:rPr>
          <w:rFonts w:ascii="Arial" w:cs="Arial" w:eastAsia="Arial" w:hAnsi="Arial"/>
          <w:sz w:val="18"/>
          <w:szCs w:val="18"/>
          <w:color w:val="auto"/>
        </w:rPr>
        <w:t>On May 19, 2011 and effective on the Closing Date, the Company entered into a three-year employment agreement with Isaac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Mizrahi such that he will serve as the Chief Design Officer of Isaac Mizrahi Brand. Following the initial three-year term, the agreement will be renewable, at the option of the Company, for two successive one-year periods on the same terms and conditions as those in effect during the third year of the initial term. Thereafter, the agreement will renew automatically for one-year periods, unless either party gives written notice of intent to terminate at least 30 days prior to such termination. Mr. Mizrahi’s salary will be $500,000, $500,000 and $1,000,000 per annum, respectively, in the first three successive 12-month periods following the effective date of the agreement. The Board or the compensation committee may approve increases (but not decreases) in Mr. Mizrahi’s base salary from time to time, and it shall be subject to review on the third anniversary of Mr. Mizrahi’s employment agreement and each anniversary thereafter during the term of the agreement.</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Mr. Mizrahi is required to devote his full business time and attention to the business and affairs of the Company and its subsidiaries; however, Mr. Mizrahi is the principal of IM Ready and Laugh Club, Inc.,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or interfere with his employment duties or (ii) are consented to by the Company. The Company believes that it benefits from Mr. Mizrahi’s independent promotional activities by increased brand awareness of IM Brands and the IM Trademarks.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Bonus</w:t>
      </w:r>
      <w:r>
        <w:rPr>
          <w:rFonts w:ascii="Arial" w:cs="Arial" w:eastAsia="Arial" w:hAnsi="Arial"/>
          <w:sz w:val="17"/>
          <w:szCs w:val="17"/>
          <w:color w:val="auto"/>
        </w:rPr>
        <w:t>. Mr. Mizrahi has the right to a bonus if the net royalty income exceeds Twenty-Five Million Dollars ($25,000,000) in the twelve-month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commencing on the first day of the calendar quarter in which the effective date of the agreement occurs, or in any successive twelve-month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The bonus, if any, is equal to five-percent (5%) of the net royalty income in such twelve-month period in excess of Twenty-Five Million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($25,000,000). As soon as practicable, and not later than 60 days after the end of such twelve-month period, the Company shall deliver to Mr. Mizrahi: (i)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independently audited statement certifying the net royalty income for the period, (ii) a statement from the Company calculating the amount of the bonus, and</w:t>
      </w:r>
    </w:p>
    <w:p>
      <w:pPr>
        <w:spacing w:after="0" w:line="32" w:lineRule="exact"/>
        <w:rPr>
          <w:sz w:val="20"/>
          <w:szCs w:val="20"/>
          <w:color w:val="auto"/>
        </w:rPr>
      </w:pPr>
    </w:p>
    <w:p>
      <w:pPr>
        <w:ind w:right="40" w:firstLine="8"/>
        <w:spacing w:after="0" w:line="254"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Mr. Mizrahi’s request, supporting documentation of the determination of the net royalty income amount for the period. The bonus, if any, shall be paid to Mr. Mizrahi no later than 30 days after the delivery of the statements described above in (i) and (ii). In addition to, and not in lieu of, the foregoing, Mr. Mizrahi has the right to participate in all employee bonus plans offered to other executives and senior management and such other bonus payments as the Board, or the compensation committee of the Board, may approve in its sole discretion.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firstLine="648"/>
        <w:spacing w:after="0" w:line="271" w:lineRule="auto"/>
        <w:rPr>
          <w:sz w:val="20"/>
          <w:szCs w:val="20"/>
          <w:color w:val="auto"/>
        </w:rPr>
      </w:pPr>
      <w:r>
        <w:rPr>
          <w:rFonts w:ascii="Arial" w:cs="Arial" w:eastAsia="Arial" w:hAnsi="Arial"/>
          <w:sz w:val="17"/>
          <w:szCs w:val="17"/>
          <w:color w:val="auto"/>
        </w:rPr>
        <w:t>Under Mr. Mizrahi’s employment agreement with the Company, “Net Royalty Income” means booked revenue for the Company’s business (acquiring and licensing consumer brands worldwide), less the sum of advertising royalties, commissions paid to third parties, payments under royalty sharing or participation agreements, and international withholding (solely to the extent the Company or its affiliates are unable to claim a federal tax credit with respect to such international withholding) and other transfer taxes, in each case to the extent related to such booked revenue, calculated in accordance with U.S. GAAP accounting standards; provided, however, that, (i) Net Royalty Income shall not include any deferred revenues recognized during the period for which Net Royalty Income is being calculated for which the Company and IM Brands have not received the related payment, and (ii) in the event of the termination of a license agreement with respect to the Company’s business, the calculation of Net Royalty Income shall not include any revenue accelerated as a result of termination for which termination the Company or its affiliates have not received the related payment.</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 If Mr. Mizrahi’s employment is terminated by us without “cause”, or if Mr. Mizrahi resigns with “good reason”, or if we fail to renew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Mr. Mizrahi would also be entitled to continue to participate in our group medical plan, subject to certain conditions, for the same period of time for which he would continue to receive his base salary pursuant to the terms of the agreement.</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his employment by the Company and for a one-year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(unless Mr. Mizrahi’s employment was terminated without cause or was terminated by him for good reason), Mr. Mizrahi may not permit his name to be used by or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Classification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Restated &amp; Amended Bylaws provide that our board of directors be divided into three classes (Class I, Class II and Class III). Commencing with the first annual meeting of stockholders held after the adoption of the Restated &amp; Amended Bylaws, the Class I directors will serve until the following annual meeting of stockholders, the Class II directors until the next successive annual meeting of stockholders, and the Class III directors until the third annual meeting of stockholders, in each case, until their successor(s) are duly elected and qualified or until their earlier resignation or removal. At each annual meeting of stockholders commencing with the first annual meeting following the adoption of the Restated &amp; Amended Bylaws, each of the successors to the directors of the Class whose term shall have expired that year shall be elected for a three-year term.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Board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agreements with respect to the election of Directors. Other than described in Section 10 below, we have not compensated our directors for service on our Board of Directors, any committee thereof, or reimbursed for expenses incurred for attendance at meetings of our Board of Directors and/or any committee of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not a “listed issuer” as such term is defined in Rule 10A-3 under the Exchange Act. We use the definition of independence of The NASDAQ Stock Market LLC. The board has determined that Messrs. Todd Slater, Howard Liebman, Edward Jones, III, Jeffrey Cohen and Mark DiSanto are independent. Each current member of the Audit Committee, Compensation Committee and Nominating Committee is independent and meets the applicable rules and regulations regarding independence for such committee, including those set forth in pertinent NASDAQ listing standards, and that each member is free of any relationship that would interfere with his individual exercise of independent judgment.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board of directors has appointed an Audit Committee which consists of Messrs. Liebman and DiSanto. Each of such persons has been determined to be an “independent director” under the listing standards of the NASDAQ Capital Market, which is the independence standard that was adopted by our board of directors. The Board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board of directors has appointed a Compensation Committee consisting of Messrs. DiSanto and Jones. Each of such persons has been determined to be an “independent director” under the listing standards of the NASDAQ Capital Market.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board of directors has appointed a Nominating Committee consisting of Messrs. DiSanto and Jones. Each of such persons has been determined to be an “independent director” under the listing standards of the NASDAQ Capital Market. Our board of directors has adopted a written Nominating Committee Charter that sets forth the committee’s responsibilities.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16(a) of the Exchange Act requires a company's directors, officers and stockholders who beneficially own more than 10% of any class of equity securities of the Company registered pursuant to Section 12 of the Exchange Act, collectively referred to herein as the Reporting Persons, to file initial statements of beneficial ownership of securities and statements of changes in beneficial ownership of securities with respect to the company's equity securities with the SEC. All Reporting Persons are required by SEC regulation to furnish us with copies of all reports that such Reporting Persons file with the SEC pursuant to Section 16(a). Based solely on our review of the copies of such reports and upon written representations of the Reporting Persons received by us, we believe that all Section 16(a) filing requirements applicable to such Reporting Persons have been met for 2010, except for the Forms 3 filed by Jack Dweck on December 3, 2012 and the Form 4 filed by Jeffery Cohen on December 26, 2012.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53"/>
        <w:spacing w:after="0" w:line="264" w:lineRule="auto"/>
        <w:rPr>
          <w:sz w:val="20"/>
          <w:szCs w:val="20"/>
          <w:color w:val="auto"/>
        </w:rPr>
      </w:pPr>
      <w:r>
        <w:rPr>
          <w:rFonts w:ascii="Arial" w:cs="Arial" w:eastAsia="Arial" w:hAnsi="Arial"/>
          <w:sz w:val="18"/>
          <w:szCs w:val="18"/>
          <w:color w:val="auto"/>
        </w:rPr>
        <w:t>The following table sets forth information regarding all cash and non-cash compensation earned by or paid to all of the executive officers of the Company and former executive officers served during the year ended December 31, 2012 and the period September 29, 2011 to December 31, 2011, for services in all capacities to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Option &amp;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Warrant</w:t>
            </w: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All Other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160" w:type="dxa"/>
            <w:vAlign w:val="bottom"/>
          </w:tcPr>
          <w:p>
            <w:pPr>
              <w:ind w:left="820"/>
              <w:spacing w:after="0"/>
              <w:rPr>
                <w:sz w:val="20"/>
                <w:szCs w:val="20"/>
                <w:color w:val="auto"/>
              </w:rPr>
            </w:pPr>
            <w:r>
              <w:rPr>
                <w:rFonts w:ascii="Arial" w:cs="Arial" w:eastAsia="Arial" w:hAnsi="Arial"/>
                <w:sz w:val="13"/>
                <w:szCs w:val="13"/>
                <w:b w:val="1"/>
                <w:bCs w:val="1"/>
                <w:color w:val="auto"/>
              </w:rPr>
              <w:t>Executive</w:t>
            </w:r>
          </w:p>
        </w:tc>
        <w:tc>
          <w:tcPr>
            <w:tcW w:w="120" w:type="dxa"/>
            <w:vAlign w:val="bottom"/>
          </w:tcPr>
          <w:p>
            <w:pPr>
              <w:spacing w:after="0"/>
              <w:rPr>
                <w:sz w:val="13"/>
                <w:szCs w:val="13"/>
                <w:color w:val="auto"/>
              </w:rPr>
            </w:pPr>
          </w:p>
        </w:tc>
        <w:tc>
          <w:tcPr>
            <w:tcW w:w="1340" w:type="dxa"/>
            <w:vAlign w:val="bottom"/>
            <w:gridSpan w:val="2"/>
          </w:tcPr>
          <w:p>
            <w:pPr>
              <w:ind w:left="500"/>
              <w:spacing w:after="0"/>
              <w:rPr>
                <w:sz w:val="20"/>
                <w:szCs w:val="20"/>
                <w:color w:val="auto"/>
              </w:rPr>
            </w:pPr>
            <w:r>
              <w:rPr>
                <w:rFonts w:ascii="Arial" w:cs="Arial" w:eastAsia="Arial" w:hAnsi="Arial"/>
                <w:sz w:val="13"/>
                <w:szCs w:val="13"/>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Salary</w:t>
            </w:r>
          </w:p>
        </w:tc>
        <w:tc>
          <w:tcPr>
            <w:tcW w:w="10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Bonus (2)</w:t>
            </w:r>
          </w:p>
        </w:tc>
        <w:tc>
          <w:tcPr>
            <w:tcW w:w="10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Awards (3), (4)</w:t>
            </w:r>
          </w:p>
        </w:tc>
        <w:tc>
          <w:tcPr>
            <w:tcW w:w="1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Awards (5)</w:t>
            </w: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Compensation</w:t>
            </w:r>
          </w:p>
        </w:tc>
        <w:tc>
          <w:tcPr>
            <w:tcW w:w="18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r>
      <w:tr>
        <w:trPr>
          <w:trHeight w:val="114"/>
        </w:trPr>
        <w:tc>
          <w:tcPr>
            <w:tcW w:w="216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rPr>
              <w:t>Robert W. D’Loren (1)</w:t>
            </w:r>
          </w:p>
        </w:tc>
        <w:tc>
          <w:tcPr>
            <w:tcW w:w="120" w:type="dxa"/>
            <w:vAlign w:val="bottom"/>
            <w:tcBorders>
              <w:top w:val="single" w:sz="8" w:color="CCFFCC"/>
            </w:tcBorders>
            <w:shd w:val="clear" w:color="auto" w:fill="CCFFCC"/>
          </w:tcPr>
          <w:p>
            <w:pPr>
              <w:spacing w:after="0"/>
              <w:rPr>
                <w:sz w:val="9"/>
                <w:szCs w:val="9"/>
                <w:color w:val="auto"/>
              </w:rPr>
            </w:pPr>
          </w:p>
        </w:tc>
        <w:tc>
          <w:tcPr>
            <w:tcW w:w="124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rPr>
              <w:t>CEO,</w:t>
            </w:r>
          </w:p>
        </w:tc>
        <w:tc>
          <w:tcPr>
            <w:tcW w:w="100" w:type="dxa"/>
            <w:vAlign w:val="bottom"/>
            <w:tcBorders>
              <w:top w:val="single" w:sz="8" w:color="CCFFCC"/>
            </w:tcBorders>
            <w:shd w:val="clear" w:color="auto" w:fill="CCFFCC"/>
          </w:tcPr>
          <w:p>
            <w:pPr>
              <w:spacing w:after="0"/>
              <w:rPr>
                <w:sz w:val="9"/>
                <w:szCs w:val="9"/>
                <w:color w:val="auto"/>
              </w:rPr>
            </w:pPr>
          </w:p>
        </w:tc>
        <w:tc>
          <w:tcPr>
            <w:tcW w:w="540" w:type="dxa"/>
            <w:vAlign w:val="bottom"/>
            <w:tcBorders>
              <w:top w:val="single" w:sz="8" w:color="auto"/>
            </w:tcBorders>
            <w:shd w:val="clear" w:color="auto" w:fill="CCFFCC"/>
          </w:tcPr>
          <w:p>
            <w:pPr>
              <w:ind w:left="140"/>
              <w:spacing w:after="0" w:line="114" w:lineRule="exact"/>
              <w:rPr>
                <w:sz w:val="20"/>
                <w:szCs w:val="20"/>
                <w:color w:val="auto"/>
              </w:rPr>
            </w:pPr>
            <w:r>
              <w:rPr>
                <w:rFonts w:ascii="Arial" w:cs="Arial" w:eastAsia="Arial" w:hAnsi="Arial"/>
                <w:sz w:val="13"/>
                <w:szCs w:val="13"/>
                <w:color w:val="auto"/>
              </w:rPr>
              <w:t>2012</w:t>
            </w:r>
          </w:p>
        </w:tc>
        <w:tc>
          <w:tcPr>
            <w:tcW w:w="100" w:type="dxa"/>
            <w:vAlign w:val="bottom"/>
            <w:tcBorders>
              <w:top w:val="single" w:sz="8" w:color="CCFFCC"/>
            </w:tcBorders>
            <w:shd w:val="clear" w:color="auto" w:fill="CCFFCC"/>
          </w:tcPr>
          <w:p>
            <w:pPr>
              <w:spacing w:after="0"/>
              <w:rPr>
                <w:sz w:val="9"/>
                <w:szCs w:val="9"/>
                <w:color w:val="auto"/>
              </w:rPr>
            </w:pPr>
          </w:p>
        </w:tc>
        <w:tc>
          <w:tcPr>
            <w:tcW w:w="160" w:type="dxa"/>
            <w:vAlign w:val="bottom"/>
            <w:tcBorders>
              <w:top w:val="single" w:sz="8" w:color="auto"/>
            </w:tcBorders>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374,583</w:t>
            </w:r>
          </w:p>
        </w:tc>
        <w:tc>
          <w:tcPr>
            <w:tcW w:w="2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200,900</w:t>
            </w:r>
          </w:p>
        </w:tc>
        <w:tc>
          <w:tcPr>
            <w:tcW w:w="10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16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2,497,155</w:t>
            </w:r>
          </w:p>
        </w:tc>
        <w:tc>
          <w:tcPr>
            <w:tcW w:w="18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17,127</w:t>
            </w:r>
          </w:p>
        </w:tc>
        <w:tc>
          <w:tcPr>
            <w:tcW w:w="180" w:type="dxa"/>
            <w:vAlign w:val="bottom"/>
            <w:tcBorders>
              <w:top w:val="single" w:sz="8" w:color="CCFFCC"/>
            </w:tcBorders>
            <w:shd w:val="clear" w:color="auto" w:fill="CCFFCC"/>
          </w:tcPr>
          <w:p>
            <w:pPr>
              <w:spacing w:after="0"/>
              <w:rPr>
                <w:sz w:val="9"/>
                <w:szCs w:val="9"/>
                <w:color w:val="auto"/>
              </w:rPr>
            </w:pPr>
          </w:p>
        </w:tc>
        <w:tc>
          <w:tcPr>
            <w:tcW w:w="180" w:type="dxa"/>
            <w:vAlign w:val="bottom"/>
            <w:tcBorders>
              <w:top w:val="single" w:sz="8" w:color="auto"/>
            </w:tcBorders>
            <w:shd w:val="clear" w:color="auto" w:fill="CCFFCC"/>
          </w:tcPr>
          <w:p>
            <w:pPr>
              <w:jc w:val="right"/>
              <w:ind w:right="37"/>
              <w:spacing w:after="0" w:line="114"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3,089,765</w:t>
            </w:r>
          </w:p>
        </w:tc>
        <w:tc>
          <w:tcPr>
            <w:tcW w:w="100" w:type="dxa"/>
            <w:vAlign w:val="bottom"/>
            <w:tcBorders>
              <w:top w:val="single" w:sz="8" w:color="CCFFCC"/>
            </w:tcBorders>
            <w:shd w:val="clear" w:color="auto" w:fill="CCFFCC"/>
          </w:tcPr>
          <w:p>
            <w:pPr>
              <w:spacing w:after="0"/>
              <w:rPr>
                <w:sz w:val="9"/>
                <w:szCs w:val="9"/>
                <w:color w:val="auto"/>
              </w:rPr>
            </w:pPr>
          </w:p>
        </w:tc>
      </w:tr>
      <w:tr>
        <w:trPr>
          <w:trHeight w:val="149"/>
        </w:trPr>
        <w:tc>
          <w:tcPr>
            <w:tcW w:w="2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Chairman</w:t>
            </w:r>
          </w:p>
        </w:tc>
        <w:tc>
          <w:tcPr>
            <w:tcW w:w="540" w:type="dxa"/>
            <w:vAlign w:val="bottom"/>
            <w:shd w:val="clear" w:color="auto" w:fill="CCFFCC"/>
          </w:tcPr>
          <w:p>
            <w:pPr>
              <w:ind w:left="140"/>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92,733</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14,034</w:t>
            </w:r>
          </w:p>
        </w:tc>
        <w:tc>
          <w:tcPr>
            <w:tcW w:w="260" w:type="dxa"/>
            <w:vAlign w:val="bottom"/>
            <w:gridSpan w:val="2"/>
            <w:shd w:val="clear" w:color="auto" w:fill="CCFFCC"/>
          </w:tcPr>
          <w:p>
            <w:pPr>
              <w:ind w:lef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205,313</w:t>
            </w:r>
          </w:p>
        </w:tc>
        <w:tc>
          <w:tcPr>
            <w:tcW w:w="100" w:type="dxa"/>
            <w:vAlign w:val="bottom"/>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7,543</w:t>
            </w:r>
          </w:p>
        </w:tc>
        <w:tc>
          <w:tcPr>
            <w:tcW w:w="1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319,623</w:t>
            </w:r>
          </w:p>
        </w:tc>
      </w:tr>
      <w:tr>
        <w:trPr>
          <w:trHeight w:val="121"/>
        </w:trPr>
        <w:tc>
          <w:tcPr>
            <w:tcW w:w="2160" w:type="dxa"/>
            <w:vAlign w:val="bottom"/>
          </w:tcPr>
          <w:p>
            <w:pPr>
              <w:spacing w:after="0" w:line="121" w:lineRule="exact"/>
              <w:rPr>
                <w:sz w:val="20"/>
                <w:szCs w:val="20"/>
                <w:color w:val="auto"/>
              </w:rPr>
            </w:pPr>
            <w:r>
              <w:rPr>
                <w:rFonts w:ascii="Arial" w:cs="Arial" w:eastAsia="Arial" w:hAnsi="Arial"/>
                <w:sz w:val="13"/>
                <w:szCs w:val="13"/>
                <w:color w:val="auto"/>
              </w:rPr>
              <w:t>James F. Haran (1)</w:t>
            </w:r>
          </w:p>
        </w:tc>
        <w:tc>
          <w:tcPr>
            <w:tcW w:w="120" w:type="dxa"/>
            <w:vAlign w:val="bottom"/>
          </w:tcPr>
          <w:p>
            <w:pPr>
              <w:spacing w:after="0"/>
              <w:rPr>
                <w:sz w:val="10"/>
                <w:szCs w:val="10"/>
                <w:color w:val="auto"/>
              </w:rPr>
            </w:pPr>
          </w:p>
        </w:tc>
        <w:tc>
          <w:tcPr>
            <w:tcW w:w="1340" w:type="dxa"/>
            <w:vAlign w:val="bottom"/>
            <w:gridSpan w:val="2"/>
          </w:tcPr>
          <w:p>
            <w:pPr>
              <w:spacing w:after="0" w:line="121" w:lineRule="exact"/>
              <w:rPr>
                <w:sz w:val="20"/>
                <w:szCs w:val="20"/>
                <w:color w:val="auto"/>
              </w:rPr>
            </w:pPr>
            <w:r>
              <w:rPr>
                <w:rFonts w:ascii="Arial" w:cs="Arial" w:eastAsia="Arial" w:hAnsi="Arial"/>
                <w:sz w:val="13"/>
                <w:szCs w:val="13"/>
                <w:color w:val="auto"/>
              </w:rPr>
              <w:t>CFO, Assist</w:t>
            </w:r>
          </w:p>
        </w:tc>
        <w:tc>
          <w:tcPr>
            <w:tcW w:w="540" w:type="dxa"/>
            <w:vAlign w:val="bottom"/>
          </w:tcPr>
          <w:p>
            <w:pPr>
              <w:ind w:left="140"/>
              <w:spacing w:after="0" w:line="121" w:lineRule="exact"/>
              <w:rPr>
                <w:sz w:val="20"/>
                <w:szCs w:val="20"/>
                <w:color w:val="auto"/>
              </w:rPr>
            </w:pPr>
            <w:r>
              <w:rPr>
                <w:rFonts w:ascii="Arial" w:cs="Arial" w:eastAsia="Arial" w:hAnsi="Arial"/>
                <w:sz w:val="13"/>
                <w:szCs w:val="13"/>
                <w:color w:val="auto"/>
              </w:rPr>
              <w:t>2012</w:t>
            </w:r>
          </w:p>
        </w:tc>
        <w:tc>
          <w:tcPr>
            <w:tcW w:w="100" w:type="dxa"/>
            <w:vAlign w:val="bottom"/>
          </w:tcPr>
          <w:p>
            <w:pPr>
              <w:spacing w:after="0"/>
              <w:rPr>
                <w:sz w:val="10"/>
                <w:szCs w:val="10"/>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232,292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50,000</w:t>
            </w:r>
          </w:p>
        </w:tc>
        <w:tc>
          <w:tcPr>
            <w:tcW w:w="260" w:type="dxa"/>
            <w:vAlign w:val="bottom"/>
            <w:gridSpan w:val="2"/>
          </w:tcPr>
          <w:p>
            <w:pPr>
              <w:ind w:left="10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532,170</w:t>
            </w:r>
          </w:p>
        </w:tc>
        <w:tc>
          <w:tcPr>
            <w:tcW w:w="100" w:type="dxa"/>
            <w:vAlign w:val="bottom"/>
          </w:tcPr>
          <w:p>
            <w:pPr>
              <w:jc w:val="right"/>
              <w:spacing w:after="0" w:line="121"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21"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6,716</w:t>
            </w:r>
          </w:p>
        </w:tc>
        <w:tc>
          <w:tcPr>
            <w:tcW w:w="180" w:type="dxa"/>
            <w:vAlign w:val="bottom"/>
          </w:tcPr>
          <w:p>
            <w:pPr>
              <w:jc w:val="right"/>
              <w:ind w:right="37"/>
              <w:spacing w:after="0" w:line="121"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821,178</w:t>
            </w: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Sec.</w:t>
            </w:r>
          </w:p>
        </w:tc>
        <w:tc>
          <w:tcPr>
            <w:tcW w:w="540" w:type="dxa"/>
            <w:vAlign w:val="bottom"/>
          </w:tcPr>
          <w:p>
            <w:pPr>
              <w:ind w:left="14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65,625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14,583</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42,478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2,328</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125,014</w:t>
            </w:r>
          </w:p>
        </w:tc>
      </w:tr>
      <w:tr>
        <w:trPr>
          <w:trHeight w:val="121"/>
        </w:trPr>
        <w:tc>
          <w:tcPr>
            <w:tcW w:w="216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Seth Burroughs (1)</w:t>
            </w:r>
          </w:p>
        </w:tc>
        <w:tc>
          <w:tcPr>
            <w:tcW w:w="120" w:type="dxa"/>
            <w:vAlign w:val="bottom"/>
            <w:shd w:val="clear" w:color="auto" w:fill="CCFFCC"/>
          </w:tcPr>
          <w:p>
            <w:pPr>
              <w:spacing w:after="0"/>
              <w:rPr>
                <w:sz w:val="10"/>
                <w:szCs w:val="10"/>
                <w:color w:val="auto"/>
              </w:rPr>
            </w:pPr>
          </w:p>
        </w:tc>
        <w:tc>
          <w:tcPr>
            <w:tcW w:w="1340" w:type="dxa"/>
            <w:vAlign w:val="bottom"/>
            <w:gridSpan w:val="2"/>
            <w:shd w:val="clear" w:color="auto" w:fill="CCFFCC"/>
          </w:tcPr>
          <w:p>
            <w:pPr>
              <w:spacing w:after="0" w:line="121" w:lineRule="exact"/>
              <w:rPr>
                <w:sz w:val="20"/>
                <w:szCs w:val="20"/>
                <w:color w:val="auto"/>
              </w:rPr>
            </w:pPr>
            <w:r>
              <w:rPr>
                <w:rFonts w:ascii="Arial" w:cs="Arial" w:eastAsia="Arial" w:hAnsi="Arial"/>
                <w:sz w:val="13"/>
                <w:szCs w:val="13"/>
                <w:color w:val="auto"/>
              </w:rPr>
              <w:t>Sec, EVP</w:t>
            </w:r>
          </w:p>
        </w:tc>
        <w:tc>
          <w:tcPr>
            <w:tcW w:w="540" w:type="dxa"/>
            <w:vAlign w:val="bottom"/>
            <w:shd w:val="clear" w:color="auto" w:fill="CCFFCC"/>
          </w:tcPr>
          <w:p>
            <w:pPr>
              <w:ind w:left="140"/>
              <w:spacing w:after="0" w:line="121" w:lineRule="exact"/>
              <w:rPr>
                <w:sz w:val="20"/>
                <w:szCs w:val="20"/>
                <w:color w:val="auto"/>
              </w:rPr>
            </w:pPr>
            <w:r>
              <w:rPr>
                <w:rFonts w:ascii="Arial" w:cs="Arial" w:eastAsia="Arial" w:hAnsi="Arial"/>
                <w:sz w:val="13"/>
                <w:szCs w:val="13"/>
                <w:color w:val="auto"/>
              </w:rPr>
              <w:t>2012</w:t>
            </w: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FFCC"/>
          </w:tcPr>
          <w:p>
            <w:pPr>
              <w:jc w:val="right"/>
              <w:ind w:right="220"/>
              <w:spacing w:after="0" w:line="121" w:lineRule="exact"/>
              <w:rPr>
                <w:sz w:val="20"/>
                <w:szCs w:val="20"/>
                <w:color w:val="auto"/>
              </w:rPr>
            </w:pPr>
            <w:r>
              <w:rPr>
                <w:rFonts w:ascii="Arial" w:cs="Arial" w:eastAsia="Arial" w:hAnsi="Arial"/>
                <w:sz w:val="13"/>
                <w:szCs w:val="13"/>
                <w:color w:val="auto"/>
              </w:rPr>
              <w:t>183,333</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FFCC"/>
          </w:tcPr>
          <w:p>
            <w:pPr>
              <w:jc w:val="right"/>
              <w:ind w:right="100"/>
              <w:spacing w:after="0" w:line="121" w:lineRule="exact"/>
              <w:rPr>
                <w:sz w:val="20"/>
                <w:szCs w:val="20"/>
                <w:color w:val="auto"/>
              </w:rPr>
            </w:pPr>
            <w:r>
              <w:rPr>
                <w:rFonts w:ascii="Arial" w:cs="Arial" w:eastAsia="Arial" w:hAnsi="Arial"/>
                <w:sz w:val="13"/>
                <w:szCs w:val="13"/>
                <w:color w:val="auto"/>
              </w:rPr>
              <w:t>50,000</w:t>
            </w:r>
          </w:p>
        </w:tc>
        <w:tc>
          <w:tcPr>
            <w:tcW w:w="260" w:type="dxa"/>
            <w:vAlign w:val="bottom"/>
            <w:gridSpan w:val="2"/>
            <w:shd w:val="clear" w:color="auto" w:fill="CCFFCC"/>
          </w:tcPr>
          <w:p>
            <w:pPr>
              <w:ind w:left="10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80"/>
              <w:spacing w:after="0" w:line="121" w:lineRule="exact"/>
              <w:rPr>
                <w:sz w:val="20"/>
                <w:szCs w:val="20"/>
                <w:color w:val="auto"/>
              </w:rPr>
            </w:pPr>
            <w:r>
              <w:rPr>
                <w:rFonts w:ascii="Arial" w:cs="Arial" w:eastAsia="Arial" w:hAnsi="Arial"/>
                <w:sz w:val="13"/>
                <w:szCs w:val="13"/>
                <w:color w:val="auto"/>
              </w:rPr>
              <w:t>383,001</w:t>
            </w:r>
          </w:p>
        </w:tc>
        <w:tc>
          <w:tcPr>
            <w:tcW w:w="100" w:type="dxa"/>
            <w:vAlign w:val="bottom"/>
            <w:shd w:val="clear" w:color="auto" w:fill="CCFFCC"/>
          </w:tcPr>
          <w:p>
            <w:pPr>
              <w:jc w:val="right"/>
              <w:spacing w:after="0" w:line="121"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FFCC"/>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jc w:val="right"/>
              <w:spacing w:after="0" w:line="121"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FFCC"/>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jc w:val="right"/>
              <w:ind w:right="37"/>
              <w:spacing w:after="0" w:line="121"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FFCC"/>
          </w:tcPr>
          <w:p>
            <w:pPr>
              <w:jc w:val="right"/>
              <w:ind w:right="100"/>
              <w:spacing w:after="0" w:line="121" w:lineRule="exact"/>
              <w:rPr>
                <w:sz w:val="20"/>
                <w:szCs w:val="20"/>
                <w:color w:val="auto"/>
              </w:rPr>
            </w:pPr>
            <w:r>
              <w:rPr>
                <w:rFonts w:ascii="Arial" w:cs="Arial" w:eastAsia="Arial" w:hAnsi="Arial"/>
                <w:sz w:val="13"/>
                <w:szCs w:val="13"/>
                <w:color w:val="auto"/>
              </w:rPr>
              <w:t>616,334</w:t>
            </w:r>
          </w:p>
        </w:tc>
      </w:tr>
      <w:tr>
        <w:trPr>
          <w:trHeight w:val="149"/>
        </w:trPr>
        <w:tc>
          <w:tcPr>
            <w:tcW w:w="2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ind w:left="140"/>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51,042</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10,000</w:t>
            </w:r>
          </w:p>
        </w:tc>
        <w:tc>
          <w:tcPr>
            <w:tcW w:w="260" w:type="dxa"/>
            <w:vAlign w:val="bottom"/>
            <w:gridSpan w:val="2"/>
            <w:shd w:val="clear" w:color="auto" w:fill="CCFFCC"/>
          </w:tcPr>
          <w:p>
            <w:pPr>
              <w:ind w:lef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42,908</w:t>
            </w:r>
          </w:p>
        </w:tc>
        <w:tc>
          <w:tcPr>
            <w:tcW w:w="100" w:type="dxa"/>
            <w:vAlign w:val="bottom"/>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103,950</w:t>
            </w:r>
          </w:p>
        </w:tc>
      </w:tr>
    </w:tbl>
    <w:p>
      <w:pPr>
        <w:spacing w:after="0" w:line="2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Executives did not receive compensation prior to the Merger on September 29, 2011.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Bonuses are in accordance with Executive’s employment agreements.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April 17, 2012, the named executive officers were issued an aggregate of 950,000 shares of restricted stock. The vesting date of the 950,000 shares of restricted stock was November 15, 2012, provided, however, that each such grantee has the right to extend the vesting date by six-month increments in his sole discretion, prior to the date the restrictions would lapse. As of December 31, 2012, 443,978 of these shares have vested. The shares were valued at $3.00 per share at the date of the grant.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June 1, 2012, the named executive officers were issued an aggregate of 187,442 shares of restricted stock. The vesting date of the 187,442 shares of restricted stock was December 1, 2012, provided, however, that each such grantee has the right to extend the vesting date by six-month increments in his sole discretion, prior to the date the restrictions would lapse. As of December 31, 2012, none of these shares have vested and was valued at $3.00 per share at the date of the grant.</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Warrants were issued to Executives on the closing date of the Merger providing for each warrant to purchase one common share of stock for $5.00 per share, exercisable immediately. The detail for these awards is included in ‘Outstanding Equity Awards at Fiscal Year-End’ table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4"/>
          </w:tcPr>
          <w:p>
            <w:pPr>
              <w:ind w:left="580"/>
              <w:spacing w:after="0"/>
              <w:rPr>
                <w:sz w:val="20"/>
                <w:szCs w:val="20"/>
                <w:color w:val="auto"/>
              </w:rPr>
            </w:pPr>
            <w:r>
              <w:rPr>
                <w:rFonts w:ascii="Arial" w:cs="Arial" w:eastAsia="Arial" w:hAnsi="Arial"/>
                <w:sz w:val="13"/>
                <w:szCs w:val="13"/>
                <w:b w:val="1"/>
                <w:bCs w:val="1"/>
                <w:color w:val="auto"/>
                <w:w w:val="91"/>
              </w:rPr>
              <w:t>Options and Warrant Awards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ind w:left="640"/>
              <w:spacing w:after="0"/>
              <w:rPr>
                <w:sz w:val="20"/>
                <w:szCs w:val="20"/>
                <w:color w:val="auto"/>
              </w:rPr>
            </w:pPr>
            <w:r>
              <w:rPr>
                <w:rFonts w:ascii="Arial" w:cs="Arial" w:eastAsia="Arial" w:hAnsi="Arial"/>
                <w:sz w:val="13"/>
                <w:szCs w:val="13"/>
                <w:b w:val="1"/>
                <w:bCs w:val="1"/>
                <w:color w:val="auto"/>
              </w:rPr>
              <w:t>Stock Awards</w:t>
            </w:r>
          </w:p>
        </w:tc>
      </w:tr>
      <w:tr>
        <w:trPr>
          <w:trHeight w:val="110"/>
        </w:trPr>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Number of</w:t>
            </w:r>
          </w:p>
        </w:tc>
        <w:tc>
          <w:tcPr>
            <w:tcW w:w="1100" w:type="dxa"/>
            <w:vAlign w:val="bottom"/>
            <w:tcBorders>
              <w:top w:val="single" w:sz="8" w:color="auto"/>
            </w:tcBorders>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Underlying</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Option or</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Number of</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Options &amp;</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Options &amp;</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Warrant</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0"/>
              </w:rPr>
              <w:t>Shares of</w:t>
            </w:r>
          </w:p>
        </w:tc>
        <w:tc>
          <w:tcPr>
            <w:tcW w:w="12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Shares of</w:t>
            </w: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Warrants,</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Warrants,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2"/>
              </w:rPr>
              <w:t>Exercise</w:t>
            </w:r>
          </w:p>
        </w:tc>
        <w:tc>
          <w:tcPr>
            <w:tcW w:w="100" w:type="dxa"/>
            <w:vAlign w:val="bottom"/>
          </w:tcPr>
          <w:p>
            <w:pPr>
              <w:spacing w:after="0"/>
              <w:rPr>
                <w:sz w:val="11"/>
                <w:szCs w:val="11"/>
                <w:color w:val="auto"/>
              </w:rPr>
            </w:pP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Stock Not</w:t>
            </w:r>
          </w:p>
        </w:tc>
        <w:tc>
          <w:tcPr>
            <w:tcW w:w="12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Stock Not</w:t>
            </w:r>
          </w:p>
        </w:tc>
      </w:tr>
      <w:tr>
        <w:trPr>
          <w:trHeight w:val="153"/>
        </w:trPr>
        <w:tc>
          <w:tcPr>
            <w:tcW w:w="1840" w:type="dxa"/>
            <w:vAlign w:val="bottom"/>
          </w:tcPr>
          <w:p>
            <w:pPr>
              <w:ind w:left="660"/>
              <w:spacing w:after="0"/>
              <w:rPr>
                <w:sz w:val="20"/>
                <w:szCs w:val="20"/>
                <w:color w:val="auto"/>
              </w:rPr>
            </w:pPr>
            <w:r>
              <w:rPr>
                <w:rFonts w:ascii="Arial" w:cs="Arial" w:eastAsia="Arial" w:hAnsi="Arial"/>
                <w:sz w:val="13"/>
                <w:szCs w:val="13"/>
                <w:b w:val="1"/>
                <w:bCs w:val="1"/>
                <w:color w:val="auto"/>
              </w:rPr>
              <w:t>Executive</w:t>
            </w:r>
          </w:p>
        </w:tc>
        <w:tc>
          <w:tcPr>
            <w:tcW w:w="120" w:type="dxa"/>
            <w:vAlign w:val="bottom"/>
          </w:tcPr>
          <w:p>
            <w:pPr>
              <w:spacing w:after="0"/>
              <w:rPr>
                <w:sz w:val="13"/>
                <w:szCs w:val="13"/>
                <w:color w:val="auto"/>
              </w:rPr>
            </w:pPr>
          </w:p>
        </w:tc>
        <w:tc>
          <w:tcPr>
            <w:tcW w:w="1660" w:type="dxa"/>
            <w:vAlign w:val="bottom"/>
            <w:gridSpan w:val="2"/>
          </w:tcPr>
          <w:p>
            <w:pPr>
              <w:ind w:left="640"/>
              <w:spacing w:after="0"/>
              <w:rPr>
                <w:sz w:val="20"/>
                <w:szCs w:val="20"/>
                <w:color w:val="auto"/>
              </w:rPr>
            </w:pPr>
            <w:r>
              <w:rPr>
                <w:rFonts w:ascii="Arial" w:cs="Arial" w:eastAsia="Arial" w:hAnsi="Arial"/>
                <w:sz w:val="13"/>
                <w:szCs w:val="13"/>
                <w:b w:val="1"/>
                <w:bCs w:val="1"/>
                <w:color w:val="auto"/>
              </w:rPr>
              <w:t>Title</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Exercisable</w:t>
            </w: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Unexercisable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Vested</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9"/>
              </w:rPr>
              <w:t>Vested</w:t>
            </w:r>
          </w:p>
        </w:tc>
      </w:tr>
      <w:tr>
        <w:trPr>
          <w:trHeight w:val="129"/>
        </w:trPr>
        <w:tc>
          <w:tcPr>
            <w:tcW w:w="1840" w:type="dxa"/>
            <w:vAlign w:val="bottom"/>
            <w:tcBorders>
              <w:top w:val="single" w:sz="8" w:color="auto"/>
            </w:tcBorders>
            <w:shd w:val="clear" w:color="auto" w:fill="CCFFCC"/>
          </w:tcPr>
          <w:p>
            <w:pPr>
              <w:spacing w:after="0" w:line="129" w:lineRule="exact"/>
              <w:rPr>
                <w:sz w:val="20"/>
                <w:szCs w:val="20"/>
                <w:color w:val="auto"/>
              </w:rPr>
            </w:pPr>
            <w:r>
              <w:rPr>
                <w:rFonts w:ascii="Arial" w:cs="Arial" w:eastAsia="Arial" w:hAnsi="Arial"/>
                <w:sz w:val="13"/>
                <w:szCs w:val="13"/>
                <w:color w:val="auto"/>
              </w:rPr>
              <w:t>Robert W. D’Loren (1)</w:t>
            </w:r>
          </w:p>
        </w:tc>
        <w:tc>
          <w:tcPr>
            <w:tcW w:w="120" w:type="dxa"/>
            <w:vAlign w:val="bottom"/>
            <w:tcBorders>
              <w:top w:val="single" w:sz="8" w:color="CCFFCC"/>
            </w:tcBorders>
            <w:shd w:val="clear" w:color="auto" w:fill="CCFFCC"/>
          </w:tcPr>
          <w:p>
            <w:pPr>
              <w:spacing w:after="0"/>
              <w:rPr>
                <w:sz w:val="11"/>
                <w:szCs w:val="11"/>
                <w:color w:val="auto"/>
              </w:rPr>
            </w:pPr>
          </w:p>
        </w:tc>
        <w:tc>
          <w:tcPr>
            <w:tcW w:w="1540" w:type="dxa"/>
            <w:vAlign w:val="bottom"/>
            <w:tcBorders>
              <w:top w:val="single" w:sz="8" w:color="auto"/>
            </w:tcBorders>
            <w:shd w:val="clear" w:color="auto" w:fill="CCFFCC"/>
          </w:tcPr>
          <w:p>
            <w:pPr>
              <w:spacing w:after="0" w:line="129" w:lineRule="exact"/>
              <w:rPr>
                <w:sz w:val="20"/>
                <w:szCs w:val="20"/>
                <w:color w:val="auto"/>
              </w:rPr>
            </w:pPr>
            <w:r>
              <w:rPr>
                <w:rFonts w:ascii="Arial" w:cs="Arial" w:eastAsia="Arial" w:hAnsi="Arial"/>
                <w:sz w:val="13"/>
                <w:szCs w:val="13"/>
                <w:color w:val="auto"/>
              </w:rPr>
              <w:t>CEO, Chairman</w:t>
            </w:r>
          </w:p>
        </w:tc>
        <w:tc>
          <w:tcPr>
            <w:tcW w:w="120" w:type="dxa"/>
            <w:vAlign w:val="bottom"/>
            <w:tcBorders>
              <w:top w:val="single" w:sz="8" w:color="CCFFCC"/>
            </w:tcBorders>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239,250</w:t>
            </w:r>
          </w:p>
        </w:tc>
        <w:tc>
          <w:tcPr>
            <w:tcW w:w="220" w:type="dxa"/>
            <w:vAlign w:val="bottom"/>
            <w:tcBorders>
              <w:top w:val="single" w:sz="8" w:color="CCFFCC"/>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FFCC"/>
            </w:tcBorders>
            <w:shd w:val="clear" w:color="auto" w:fill="CCFFCC"/>
          </w:tcPr>
          <w:p>
            <w:pPr>
              <w:spacing w:after="0"/>
              <w:rPr>
                <w:sz w:val="11"/>
                <w:szCs w:val="11"/>
                <w:color w:val="auto"/>
              </w:rPr>
            </w:pPr>
          </w:p>
        </w:tc>
        <w:tc>
          <w:tcPr>
            <w:tcW w:w="4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5.00</w:t>
            </w:r>
          </w:p>
        </w:tc>
        <w:tc>
          <w:tcPr>
            <w:tcW w:w="10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020" w:type="dxa"/>
            <w:vAlign w:val="bottom"/>
            <w:tcBorders>
              <w:top w:val="single" w:sz="8" w:color="auto"/>
            </w:tcBorders>
            <w:shd w:val="clear" w:color="auto" w:fill="CCFFCC"/>
          </w:tcPr>
          <w:p>
            <w:pPr>
              <w:jc w:val="right"/>
              <w:ind w:right="437"/>
              <w:spacing w:after="0" w:line="129" w:lineRule="exact"/>
              <w:rPr>
                <w:sz w:val="20"/>
                <w:szCs w:val="20"/>
                <w:color w:val="auto"/>
              </w:rPr>
            </w:pPr>
            <w:r>
              <w:rPr>
                <w:rFonts w:ascii="Arial" w:cs="Arial" w:eastAsia="Arial" w:hAnsi="Arial"/>
                <w:sz w:val="13"/>
                <w:szCs w:val="13"/>
                <w:color w:val="auto"/>
                <w:w w:val="86"/>
              </w:rPr>
              <w:t>9/29/2021</w:t>
            </w:r>
          </w:p>
        </w:tc>
        <w:tc>
          <w:tcPr>
            <w:tcW w:w="10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507,480</w:t>
            </w:r>
          </w:p>
        </w:tc>
        <w:tc>
          <w:tcPr>
            <w:tcW w:w="2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1,522,440</w:t>
            </w: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3"/>
                <w:szCs w:val="13"/>
                <w:color w:val="auto"/>
              </w:rPr>
              <w:t>James F. Haran (2)</w:t>
            </w:r>
          </w:p>
        </w:tc>
        <w:tc>
          <w:tcPr>
            <w:tcW w:w="178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CFO, Assist Sec.</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49,250</w:t>
            </w:r>
          </w:p>
        </w:tc>
        <w:tc>
          <w:tcPr>
            <w:tcW w:w="11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5.00</w:t>
            </w:r>
          </w:p>
        </w:tc>
        <w:tc>
          <w:tcPr>
            <w:tcW w:w="1120" w:type="dxa"/>
            <w:vAlign w:val="bottom"/>
            <w:gridSpan w:val="2"/>
          </w:tcPr>
          <w:p>
            <w:pPr>
              <w:jc w:val="right"/>
              <w:ind w:right="437"/>
              <w:spacing w:after="0" w:line="135" w:lineRule="exact"/>
              <w:rPr>
                <w:sz w:val="20"/>
                <w:szCs w:val="20"/>
                <w:color w:val="auto"/>
              </w:rPr>
            </w:pPr>
            <w:r>
              <w:rPr>
                <w:rFonts w:ascii="Arial" w:cs="Arial" w:eastAsia="Arial" w:hAnsi="Arial"/>
                <w:sz w:val="13"/>
                <w:szCs w:val="13"/>
                <w:color w:val="auto"/>
              </w:rPr>
              <w:t>9/29/2021</w:t>
            </w:r>
          </w:p>
        </w:tc>
        <w:tc>
          <w:tcPr>
            <w:tcW w:w="100" w:type="dxa"/>
            <w:vAlign w:val="bottom"/>
          </w:tcPr>
          <w:p>
            <w:pPr>
              <w:spacing w:after="0"/>
              <w:rPr>
                <w:sz w:val="11"/>
                <w:szCs w:val="11"/>
                <w:color w:val="auto"/>
              </w:rPr>
            </w:pP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108,149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324,447</w:t>
            </w:r>
          </w:p>
        </w:tc>
        <w:tc>
          <w:tcPr>
            <w:tcW w:w="100" w:type="dxa"/>
            <w:vAlign w:val="bottom"/>
          </w:tcPr>
          <w:p>
            <w:pPr>
              <w:spacing w:after="0"/>
              <w:rPr>
                <w:sz w:val="11"/>
                <w:szCs w:val="11"/>
                <w:color w:val="auto"/>
              </w:rPr>
            </w:pPr>
          </w:p>
        </w:tc>
      </w:tr>
      <w:tr>
        <w:trPr>
          <w:trHeight w:val="135"/>
        </w:trPr>
        <w:tc>
          <w:tcPr>
            <w:tcW w:w="18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Seth Burroughs (3)</w:t>
            </w:r>
          </w:p>
        </w:tc>
        <w:tc>
          <w:tcPr>
            <w:tcW w:w="1780" w:type="dxa"/>
            <w:vAlign w:val="bottom"/>
            <w:gridSpan w:val="3"/>
            <w:shd w:val="clear" w:color="auto" w:fill="CCFFCC"/>
          </w:tcPr>
          <w:p>
            <w:pPr>
              <w:ind w:left="120"/>
              <w:spacing w:after="0" w:line="135" w:lineRule="exact"/>
              <w:rPr>
                <w:sz w:val="20"/>
                <w:szCs w:val="20"/>
                <w:color w:val="auto"/>
              </w:rPr>
            </w:pPr>
            <w:r>
              <w:rPr>
                <w:rFonts w:ascii="Arial" w:cs="Arial" w:eastAsia="Arial" w:hAnsi="Arial"/>
                <w:sz w:val="13"/>
                <w:szCs w:val="13"/>
                <w:color w:val="auto"/>
              </w:rPr>
              <w:t>Sec, EVP</w:t>
            </w:r>
          </w:p>
        </w:tc>
        <w:tc>
          <w:tcPr>
            <w:tcW w:w="11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50,000</w:t>
            </w:r>
          </w:p>
        </w:tc>
        <w:tc>
          <w:tcPr>
            <w:tcW w:w="110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5.00</w:t>
            </w:r>
          </w:p>
        </w:tc>
        <w:tc>
          <w:tcPr>
            <w:tcW w:w="1120" w:type="dxa"/>
            <w:vAlign w:val="bottom"/>
            <w:gridSpan w:val="2"/>
            <w:shd w:val="clear" w:color="auto" w:fill="CCFFCC"/>
          </w:tcPr>
          <w:p>
            <w:pPr>
              <w:jc w:val="right"/>
              <w:ind w:right="437"/>
              <w:spacing w:after="0" w:line="135" w:lineRule="exact"/>
              <w:rPr>
                <w:sz w:val="20"/>
                <w:szCs w:val="20"/>
                <w:color w:val="auto"/>
              </w:rPr>
            </w:pPr>
            <w:r>
              <w:rPr>
                <w:rFonts w:ascii="Arial" w:cs="Arial" w:eastAsia="Arial" w:hAnsi="Arial"/>
                <w:sz w:val="13"/>
                <w:szCs w:val="13"/>
                <w:color w:val="auto"/>
              </w:rPr>
              <w:t>9/29/2021</w:t>
            </w:r>
          </w:p>
        </w:tc>
        <w:tc>
          <w:tcPr>
            <w:tcW w:w="10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77,835</w:t>
            </w:r>
          </w:p>
        </w:tc>
        <w:tc>
          <w:tcPr>
            <w:tcW w:w="120" w:type="dxa"/>
            <w:vAlign w:val="bottom"/>
            <w:shd w:val="clear" w:color="auto" w:fill="CCFFCC"/>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233,505</w:t>
            </w:r>
          </w:p>
        </w:tc>
        <w:tc>
          <w:tcPr>
            <w:tcW w:w="100" w:type="dxa"/>
            <w:vAlign w:val="bottom"/>
            <w:shd w:val="clear" w:color="auto" w:fill="CCFFCC"/>
          </w:tcPr>
          <w:p>
            <w:pPr>
              <w:spacing w:after="0"/>
              <w:rPr>
                <w:sz w:val="11"/>
                <w:szCs w:val="11"/>
                <w:color w:val="auto"/>
              </w:rPr>
            </w:pP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D’Loren received a total of 832,385 shares of restricted stock during 2012. 324,905 vested, of which the Company repurchased 134,453 shares in satisfying the grantees tax withholding obligation.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660" w:right="34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Haran received a total of 177,390 shares of restricted stock during 2012. 80,759 vested, of which the Company repurchased 27,193 shares in satisfying the grantees tax withholding obligation.</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Burroughs received a total of 127,667 shares of restricted stock during 2012. 50,168 vested, of which the Company repurchased 20,776 shares in satisfying the grantees tax withholding obligation.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information with respect to director's compensation for the year ended December 31, 2012 and the period September 29, 2011 to December 31, 2011.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COMPENSATION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Fees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Option &amp;</w:t>
            </w:r>
          </w:p>
        </w:tc>
        <w:tc>
          <w:tcPr>
            <w:tcW w:w="1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Nonqualified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earned or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Director</w:t>
            </w:r>
          </w:p>
        </w:tc>
        <w:tc>
          <w:tcPr>
            <w:tcW w:w="100" w:type="dxa"/>
            <w:vAlign w:val="bottom"/>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paid in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8"/>
              </w:rPr>
              <w:t>Warrant</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w w:val="92"/>
              </w:rPr>
              <w:t>Awards (2)</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Awards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0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Edward Jones</w:t>
            </w:r>
          </w:p>
        </w:tc>
        <w:tc>
          <w:tcPr>
            <w:tcW w:w="100" w:type="dxa"/>
            <w:vAlign w:val="bottom"/>
            <w:tcBorders>
              <w:top w:val="single" w:sz="8" w:color="CCFFCC"/>
            </w:tcBorders>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ind w:left="300"/>
              <w:spacing w:after="0" w:line="123" w:lineRule="exact"/>
              <w:rPr>
                <w:sz w:val="20"/>
                <w:szCs w:val="20"/>
                <w:color w:val="auto"/>
              </w:rPr>
            </w:pPr>
            <w:r>
              <w:rPr>
                <w:rFonts w:ascii="Arial" w:cs="Arial" w:eastAsia="Arial" w:hAnsi="Arial"/>
                <w:sz w:val="14"/>
                <w:szCs w:val="14"/>
                <w:color w:val="auto"/>
              </w:rPr>
              <w:t>2012</w:t>
            </w:r>
          </w:p>
        </w:tc>
        <w:tc>
          <w:tcPr>
            <w:tcW w:w="8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6,000</w:t>
            </w:r>
          </w:p>
        </w:tc>
        <w:tc>
          <w:tcPr>
            <w:tcW w:w="20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83,001</w:t>
            </w:r>
          </w:p>
        </w:tc>
        <w:tc>
          <w:tcPr>
            <w:tcW w:w="16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89,001</w:t>
            </w: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ind w:left="400"/>
              <w:spacing w:after="0"/>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21,131</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220" w:type="dxa"/>
            <w:vAlign w:val="bottom"/>
            <w:gridSpan w:val="2"/>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21,131</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Howard Liebman</w:t>
            </w:r>
          </w:p>
        </w:tc>
        <w:tc>
          <w:tcPr>
            <w:tcW w:w="102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2012</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16,000</w:t>
            </w:r>
          </w:p>
        </w:tc>
        <w:tc>
          <w:tcPr>
            <w:tcW w:w="2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83,001</w:t>
            </w:r>
          </w:p>
        </w:tc>
        <w:tc>
          <w:tcPr>
            <w:tcW w:w="2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20" w:type="dxa"/>
            <w:vAlign w:val="bottom"/>
            <w:gridSpan w:val="2"/>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99,001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rPr>
              <w:t>2011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21,131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21,131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Jeff Cohen (3)</w:t>
            </w:r>
          </w:p>
        </w:tc>
        <w:tc>
          <w:tcPr>
            <w:tcW w:w="1020" w:type="dxa"/>
            <w:vAlign w:val="bottom"/>
            <w:gridSpan w:val="2"/>
            <w:shd w:val="clear" w:color="auto" w:fill="CCFFCC"/>
          </w:tcPr>
          <w:p>
            <w:pPr>
              <w:ind w:left="400"/>
              <w:spacing w:after="0" w:line="130" w:lineRule="exact"/>
              <w:rPr>
                <w:sz w:val="20"/>
                <w:szCs w:val="20"/>
                <w:color w:val="auto"/>
              </w:rPr>
            </w:pPr>
            <w:r>
              <w:rPr>
                <w:rFonts w:ascii="Arial" w:cs="Arial" w:eastAsia="Arial" w:hAnsi="Arial"/>
                <w:sz w:val="14"/>
                <w:szCs w:val="14"/>
                <w:color w:val="auto"/>
              </w:rPr>
              <w:t>2012</w:t>
            </w:r>
          </w:p>
        </w:tc>
        <w:tc>
          <w:tcPr>
            <w:tcW w:w="1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2,000</w:t>
            </w:r>
          </w:p>
        </w:tc>
        <w:tc>
          <w:tcPr>
            <w:tcW w:w="2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83,001</w:t>
            </w:r>
          </w:p>
        </w:tc>
        <w:tc>
          <w:tcPr>
            <w:tcW w:w="24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220" w:type="dxa"/>
            <w:vAlign w:val="bottom"/>
            <w:gridSpan w:val="2"/>
            <w:shd w:val="clear" w:color="auto" w:fill="CCFFCC"/>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85,001</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ind w:left="400"/>
              <w:spacing w:after="0"/>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21,131</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220" w:type="dxa"/>
            <w:vAlign w:val="bottom"/>
            <w:gridSpan w:val="2"/>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21,131</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Mark DiSanto</w:t>
            </w:r>
          </w:p>
        </w:tc>
        <w:tc>
          <w:tcPr>
            <w:tcW w:w="102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2011</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12,000</w:t>
            </w:r>
          </w:p>
        </w:tc>
        <w:tc>
          <w:tcPr>
            <w:tcW w:w="2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83,001</w:t>
            </w:r>
          </w:p>
        </w:tc>
        <w:tc>
          <w:tcPr>
            <w:tcW w:w="2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20" w:type="dxa"/>
            <w:vAlign w:val="bottom"/>
            <w:gridSpan w:val="2"/>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95,001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rPr>
              <w:t>2011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21,131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21,131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Todd Slater</w:t>
            </w:r>
          </w:p>
        </w:tc>
        <w:tc>
          <w:tcPr>
            <w:tcW w:w="1020" w:type="dxa"/>
            <w:vAlign w:val="bottom"/>
            <w:gridSpan w:val="2"/>
            <w:shd w:val="clear" w:color="auto" w:fill="CCFFCC"/>
          </w:tcPr>
          <w:p>
            <w:pPr>
              <w:ind w:left="400"/>
              <w:spacing w:after="0" w:line="130" w:lineRule="exact"/>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4,000</w:t>
            </w:r>
          </w:p>
        </w:tc>
        <w:tc>
          <w:tcPr>
            <w:tcW w:w="2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83,001</w:t>
            </w:r>
          </w:p>
        </w:tc>
        <w:tc>
          <w:tcPr>
            <w:tcW w:w="24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220" w:type="dxa"/>
            <w:vAlign w:val="bottom"/>
            <w:gridSpan w:val="2"/>
            <w:shd w:val="clear" w:color="auto" w:fill="CCFFCC"/>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87,001</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ind w:left="400"/>
              <w:spacing w:after="0"/>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21,131</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220" w:type="dxa"/>
            <w:vAlign w:val="bottom"/>
            <w:gridSpan w:val="2"/>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21,131</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Jack Dweck (3)</w:t>
            </w: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rPr>
              <w:t>2012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660" w:right="2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17, 2011, each independent director was granted an option to purchase 50,000 shares of common stock exercisable for a period of five years at an exercise price of $5.00 per share. Such options vested one-third upon issuance and vest an additional one-third on each of the following two anniversaries of the issuance date.</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June 1, 2012, each independent director was granted 27,667 shares of restricted stock pursuant to the terms and conditions of the Plan. Each restricted share vests on December 1, 2012, provided, however, that each such grantee has the right to extend the vesting date by six-month increments in his sole discretion, prior to the date the restrictions would lapse. As of December 31, 2012, restrictions on 53,995 shares have lapsed. On November 15, 2012 the Company repurchased 18,870 shares on vesting of restricted stock in satisfying the grantees tax withholding obligation. Each share was valued at $3.00 per share at the date of the grant.</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Elected as a director December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intends to pay its non-executive directors $2,000 for each Board and committee meeting attended up to a maximum of $8,000 per year, except that the chairman of each committee shall receive $3,000 for each such committee meeting attended up to a maximum of $12,000 per year. So long as a principal of Earthbound serves as a member on the board of directors of the Company (Jack Dweck, a principal of Earthbound, has agreed to serve as a director), Earthbound has the right to appoint a board observer. Earthbound appointed Jeff Cohen, a principal of Earthbound and a principal stockholder of the Company, to be its observer on the board of directors of the Company. As an observer, Mr. Cohen has the right to attend and observe all general meetings of the board of directors, but he has no other rights (including voting rights) and receives no compensation from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2011 Equity Incentive Plan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Company, with the approval of a majority of its shareholders and Board of Directors, amended and restated the Plan effective November 26, 2012.</w:t>
      </w:r>
    </w:p>
    <w:p>
      <w:pPr>
        <w:spacing w:after="0" w:line="187" w:lineRule="exact"/>
        <w:rPr>
          <w:sz w:val="20"/>
          <w:szCs w:val="20"/>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total of 5,000,000 shares of Common Stock are eligible for issuance under the Plan, and the maximum number of shares of Common Stock with respect to which incentive stock options may be granted under the Plan is 2,000,000.</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spacing w:after="0" w:line="170"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154" w:lineRule="exact"/>
        <w:rPr>
          <w:rFonts w:ascii="Arial" w:cs="Arial" w:eastAsia="Arial" w:hAnsi="Arial"/>
          <w:sz w:val="16"/>
          <w:szCs w:val="16"/>
          <w:color w:val="auto"/>
        </w:rPr>
      </w:pPr>
    </w:p>
    <w:p>
      <w:pPr>
        <w:ind w:left="660" w:right="1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81"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6"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ind w:left="660" w:right="24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table lists, as of March 15, 2013, the number of shares of Common Stock beneficially owned by (i) each person or entity known to the Company to be the beneficial owner of more than 5% of the outstanding common stock; (ii) each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vote or direct the voting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below are calculated based on 7,339,979 shares of Common Stock issued and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Common Stock Beneficially</w:t>
            </w:r>
          </w:p>
        </w:tc>
      </w:tr>
      <w:tr>
        <w:trPr>
          <w:trHeight w:val="234"/>
        </w:trPr>
        <w:tc>
          <w:tcPr>
            <w:tcW w:w="4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b w:val="1"/>
                <w:bCs w:val="1"/>
                <w:color w:val="auto"/>
                <w:w w:val="93"/>
              </w:rPr>
              <w:t>Owned</w:t>
            </w:r>
          </w:p>
        </w:tc>
        <w:tc>
          <w:tcPr>
            <w:tcW w:w="1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jc w:val="center"/>
              <w:ind w:right="5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54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9"/>
              </w:rPr>
              <w:t>Percentage of</w:t>
            </w:r>
          </w:p>
        </w:tc>
        <w:tc>
          <w:tcPr>
            <w:tcW w:w="160" w:type="dxa"/>
            <w:vAlign w:val="bottom"/>
          </w:tcPr>
          <w:p>
            <w:pPr>
              <w:spacing w:after="0"/>
              <w:rPr>
                <w:sz w:val="16"/>
                <w:szCs w:val="16"/>
                <w:color w:val="auto"/>
              </w:rPr>
            </w:pPr>
          </w:p>
        </w:tc>
      </w:tr>
      <w:tr>
        <w:trPr>
          <w:trHeight w:val="216"/>
        </w:trPr>
        <w:tc>
          <w:tcPr>
            <w:tcW w:w="4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Shares</w:t>
            </w: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Class</w:t>
            </w:r>
          </w:p>
        </w:tc>
      </w:tr>
      <w:tr>
        <w:trPr>
          <w:trHeight w:val="216"/>
        </w:trPr>
        <w:tc>
          <w:tcPr>
            <w:tcW w:w="4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Beneficially</w:t>
            </w: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Beneficially</w:t>
            </w: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38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2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FFCC"/>
            </w:tcBorders>
          </w:tcPr>
          <w:p>
            <w:pPr>
              <w:spacing w:after="0"/>
              <w:rPr>
                <w:sz w:val="20"/>
                <w:szCs w:val="20"/>
                <w:color w:val="auto"/>
              </w:rPr>
            </w:pPr>
          </w:p>
        </w:tc>
      </w:tr>
      <w:tr>
        <w:trPr>
          <w:trHeight w:val="210"/>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Robert W. D’Loren (1)</w:t>
            </w:r>
          </w:p>
        </w:tc>
        <w:tc>
          <w:tcPr>
            <w:tcW w:w="2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1,463,465</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James F. Haran (2)</w:t>
            </w:r>
          </w:p>
        </w:tc>
        <w:tc>
          <w:tcPr>
            <w:tcW w:w="4500" w:type="dxa"/>
            <w:vAlign w:val="bottom"/>
            <w:gridSpan w:val="4"/>
          </w:tcPr>
          <w:p>
            <w:pPr>
              <w:jc w:val="right"/>
              <w:ind w:right="200"/>
              <w:spacing w:after="0"/>
              <w:rPr>
                <w:sz w:val="20"/>
                <w:szCs w:val="20"/>
                <w:color w:val="auto"/>
              </w:rPr>
            </w:pPr>
            <w:r>
              <w:rPr>
                <w:rFonts w:ascii="Arial" w:cs="Arial" w:eastAsia="Arial" w:hAnsi="Arial"/>
                <w:sz w:val="18"/>
                <w:szCs w:val="18"/>
                <w:color w:val="auto"/>
              </w:rPr>
              <w:t>363,900</w:t>
            </w:r>
          </w:p>
        </w:tc>
        <w:tc>
          <w:tcPr>
            <w:tcW w:w="2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Marisa Gardini (3) (4)</w:t>
            </w:r>
          </w:p>
        </w:tc>
        <w:tc>
          <w:tcPr>
            <w:tcW w:w="4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500,744</w:t>
            </w: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Seth Burroughs (5)</w:t>
            </w:r>
          </w:p>
        </w:tc>
        <w:tc>
          <w:tcPr>
            <w:tcW w:w="4500" w:type="dxa"/>
            <w:vAlign w:val="bottom"/>
            <w:gridSpan w:val="4"/>
          </w:tcPr>
          <w:p>
            <w:pPr>
              <w:jc w:val="right"/>
              <w:ind w:right="200"/>
              <w:spacing w:after="0"/>
              <w:rPr>
                <w:sz w:val="20"/>
                <w:szCs w:val="20"/>
                <w:color w:val="auto"/>
              </w:rPr>
            </w:pPr>
            <w:r>
              <w:rPr>
                <w:rFonts w:ascii="Arial" w:cs="Arial" w:eastAsia="Arial" w:hAnsi="Arial"/>
                <w:sz w:val="18"/>
                <w:szCs w:val="18"/>
                <w:color w:val="auto"/>
              </w:rPr>
              <w:t>306,360</w:t>
            </w:r>
          </w:p>
        </w:tc>
        <w:tc>
          <w:tcPr>
            <w:tcW w:w="2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Todd Slater (6)</w:t>
            </w:r>
          </w:p>
        </w:tc>
        <w:tc>
          <w:tcPr>
            <w:tcW w:w="4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56,655</w:t>
            </w: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Howard Liebman (7)</w:t>
            </w:r>
          </w:p>
        </w:tc>
        <w:tc>
          <w:tcPr>
            <w:tcW w:w="4500" w:type="dxa"/>
            <w:vAlign w:val="bottom"/>
            <w:gridSpan w:val="4"/>
          </w:tcPr>
          <w:p>
            <w:pPr>
              <w:jc w:val="right"/>
              <w:ind w:right="200"/>
              <w:spacing w:after="0"/>
              <w:rPr>
                <w:sz w:val="20"/>
                <w:szCs w:val="20"/>
                <w:color w:val="auto"/>
              </w:rPr>
            </w:pPr>
            <w:r>
              <w:rPr>
                <w:rFonts w:ascii="Arial" w:cs="Arial" w:eastAsia="Arial" w:hAnsi="Arial"/>
                <w:sz w:val="18"/>
                <w:szCs w:val="18"/>
                <w:color w:val="auto"/>
              </w:rPr>
              <w:t>57,977</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Edward Jones, III (8)</w:t>
            </w:r>
          </w:p>
        </w:tc>
        <w:tc>
          <w:tcPr>
            <w:tcW w:w="4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57,977</w:t>
            </w: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Jack Dweck (9)</w:t>
            </w:r>
          </w:p>
        </w:tc>
        <w:tc>
          <w:tcPr>
            <w:tcW w:w="4500" w:type="dxa"/>
            <w:vAlign w:val="bottom"/>
            <w:gridSpan w:val="4"/>
          </w:tcPr>
          <w:p>
            <w:pPr>
              <w:jc w:val="right"/>
              <w:ind w:right="200"/>
              <w:spacing w:after="0"/>
              <w:rPr>
                <w:sz w:val="20"/>
                <w:szCs w:val="20"/>
                <w:color w:val="auto"/>
              </w:rPr>
            </w:pPr>
            <w:r>
              <w:rPr>
                <w:rFonts w:ascii="Arial" w:cs="Arial" w:eastAsia="Arial" w:hAnsi="Arial"/>
                <w:sz w:val="18"/>
                <w:szCs w:val="18"/>
                <w:color w:val="auto"/>
              </w:rPr>
              <w:t>560,089</w:t>
            </w:r>
          </w:p>
        </w:tc>
        <w:tc>
          <w:tcPr>
            <w:tcW w:w="2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Mark DiSanto (10)</w:t>
            </w:r>
          </w:p>
        </w:tc>
        <w:tc>
          <w:tcPr>
            <w:tcW w:w="4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465,487</w:t>
            </w: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Giuseppe Falco (11)</w:t>
            </w:r>
          </w:p>
        </w:tc>
        <w:tc>
          <w:tcPr>
            <w:tcW w:w="4500" w:type="dxa"/>
            <w:vAlign w:val="bottom"/>
            <w:gridSpan w:val="4"/>
          </w:tcPr>
          <w:p>
            <w:pPr>
              <w:jc w:val="right"/>
              <w:ind w:right="200"/>
              <w:spacing w:after="0"/>
              <w:rPr>
                <w:sz w:val="20"/>
                <w:szCs w:val="20"/>
                <w:color w:val="auto"/>
              </w:rPr>
            </w:pPr>
            <w:r>
              <w:rPr>
                <w:rFonts w:ascii="Arial" w:cs="Arial" w:eastAsia="Arial" w:hAnsi="Arial"/>
                <w:sz w:val="18"/>
                <w:szCs w:val="18"/>
                <w:color w:val="auto"/>
              </w:rPr>
              <w:t>127,838</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4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4,154,981</w:t>
            </w: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5% Shareholders: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Isaac Mizrahi (12)</w:t>
            </w:r>
          </w:p>
        </w:tc>
        <w:tc>
          <w:tcPr>
            <w:tcW w:w="4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1,428,049</w:t>
            </w: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Jeffrey Cohen (13)</w:t>
            </w:r>
          </w:p>
        </w:tc>
        <w:tc>
          <w:tcPr>
            <w:tcW w:w="4500" w:type="dxa"/>
            <w:vAlign w:val="bottom"/>
            <w:gridSpan w:val="4"/>
          </w:tcPr>
          <w:p>
            <w:pPr>
              <w:jc w:val="right"/>
              <w:ind w:right="200"/>
              <w:spacing w:after="0"/>
              <w:rPr>
                <w:sz w:val="20"/>
                <w:szCs w:val="20"/>
                <w:color w:val="auto"/>
              </w:rPr>
            </w:pPr>
            <w:r>
              <w:rPr>
                <w:rFonts w:ascii="Arial" w:cs="Arial" w:eastAsia="Arial" w:hAnsi="Arial"/>
                <w:sz w:val="18"/>
                <w:szCs w:val="18"/>
                <w:color w:val="auto"/>
              </w:rPr>
              <w:t>688,765</w:t>
            </w:r>
          </w:p>
        </w:tc>
        <w:tc>
          <w:tcPr>
            <w:tcW w:w="2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16"/>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Trafelet Capital (14)</w:t>
            </w:r>
          </w:p>
        </w:tc>
        <w:tc>
          <w:tcPr>
            <w:tcW w:w="4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666,667</w:t>
            </w:r>
          </w:p>
        </w:tc>
        <w:tc>
          <w:tcPr>
            <w:tcW w:w="2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w:t>
            </w:r>
          </w:p>
        </w:tc>
      </w:tr>
      <w:tr>
        <w:trPr>
          <w:trHeight w:val="648"/>
        </w:trPr>
        <w:tc>
          <w:tcPr>
            <w:tcW w:w="4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right="160" w:hanging="652"/>
        <w:spacing w:after="0" w:line="27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Represents (i) 190,452 shares, (ii) 526,283 shares owned by Irrevocable Trust of Rose Dempsey (the “ </w:t>
      </w:r>
      <w:r>
        <w:rPr>
          <w:rFonts w:ascii="Arial" w:cs="Arial" w:eastAsia="Arial" w:hAnsi="Arial"/>
          <w:sz w:val="17"/>
          <w:szCs w:val="17"/>
          <w:u w:val="single" w:color="auto"/>
          <w:color w:val="auto"/>
        </w:rPr>
        <w:t>Irrevocable Trust</w:t>
      </w:r>
      <w:r>
        <w:rPr>
          <w:rFonts w:ascii="Arial" w:cs="Arial" w:eastAsia="Arial" w:hAnsi="Arial"/>
          <w:sz w:val="17"/>
          <w:szCs w:val="17"/>
          <w:color w:val="auto"/>
        </w:rPr>
        <w:t xml:space="preserve"> ”) of which Mr. D’Loren and Mr. DiSanto are the trustees and as to which Mr. D’Loren has sole voting and dispositive power, (iii) 239,250 shares issuable upon exercise of immediately exercisable warrants, and (iv) 507,480 restricted shares. Does not include 271,116 shares held by the D’Loren Family Trust (the “Family Trust”) of which Mark DiSanto is a trustee and has sole voting and dispositive power.</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 206,251 shares, (ii) 108,149 restricted shares and (iii) immediately exercisable warrants to purchase 49,500 shares.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455,019 shares and 45,725 restricted shares.</w:t>
      </w:r>
    </w:p>
    <w:p>
      <w:pPr>
        <w:spacing w:after="0" w:line="225" w:lineRule="exact"/>
        <w:rPr>
          <w:rFonts w:ascii="Arial" w:cs="Arial" w:eastAsia="Arial" w:hAnsi="Arial"/>
          <w:sz w:val="18"/>
          <w:szCs w:val="18"/>
          <w:color w:val="auto"/>
        </w:rPr>
      </w:pPr>
    </w:p>
    <w:p>
      <w:pPr>
        <w:ind w:left="660" w:right="2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Gardini has agreed to appoint Robert W. D’Loren, our Chairman and Chief Executive Officer as her irrevocable proxy and attorney-in-fact with respect to 137,950 shares of the Company’s common stock pursuant to a voting agreement, IM Ready and its principals entered into with the Company.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 178,525 shares, (ii) 77,835 restricted shares and (iii) immediately exercisable warrants to purchase 50,000 shares.</w:t>
      </w:r>
    </w:p>
    <w:p>
      <w:pPr>
        <w:spacing w:after="0" w:line="225"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6,453 shares, (ii) 16,868 restricted shares and (iii) 33,334 shares issuable upon exercise of options that have vested. Does not include 16,666 shares issuable upon exercise of options but will not become exercisable within 60 days of March 15, 2013.</w:t>
      </w:r>
    </w:p>
    <w:p>
      <w:pPr>
        <w:spacing w:after="0" w:line="170"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7,775 shares, (ii) 16,868 restricted shares and (iii) 33,334 shares issuable upon exercise of options that have vested. Does not include 16,666 shares issuable upon exercise of options but will not become exercisable within 60 days of March 15, 2013.</w:t>
      </w:r>
    </w:p>
    <w:p>
      <w:pPr>
        <w:spacing w:after="0" w:line="170"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7,775 shares, (ii) 16,868 restricted shares and (iii) 33,334 shares issuable upon exercise of options that have vested. Does not include 16,666 shares issuable upon exercise of options but will not become exercisable within 60 days of March 15, 2013.</w:t>
      </w:r>
    </w:p>
    <w:p>
      <w:pPr>
        <w:spacing w:after="0" w:line="170"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300,089 shares held by Mr. Dweck, (ii) 260,000 shares held by Earthbound . Jeffrey Cohen and Jack Dweck have shared voting and dispositive power over the shares held by Earthbound LLC.</w:t>
      </w:r>
    </w:p>
    <w:p>
      <w:pPr>
        <w:spacing w:after="0" w:line="170"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 271,116 shares held by the Family Trust, of which Mark DiSanto is trustee of, and has sole voting and dispositive power over the Shares held by, the Family Trust, (ii) 144,169 shares a held by Mr. DiSanto, (iii) 16,868 restricted shares and (iv) 33,334 shares issuable upon exercise of options that have vested. Does not include 16,666 shares issuable upon exercise of options the Company agreed to grant to Mr. DiSanto but will not become exercisable within 60 days of March 15, 2013.</w:t>
      </w:r>
    </w:p>
    <w:p>
      <w:pPr>
        <w:spacing w:after="0" w:line="186" w:lineRule="exact"/>
        <w:rPr>
          <w:rFonts w:ascii="Arial" w:cs="Arial" w:eastAsia="Arial" w:hAnsi="Arial"/>
          <w:sz w:val="18"/>
          <w:szCs w:val="18"/>
          <w:color w:val="auto"/>
        </w:rPr>
      </w:pPr>
    </w:p>
    <w:p>
      <w:pPr>
        <w:ind w:left="660" w:right="1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 21,240 shares, (ii) 56,598 restricted shares and (iii) 50,000 shares issuable upon exercise of warrants that has vested. Does not include 50,000 shares issuable upon exercise of warrants and 37,500 shares of restricted stock but will not become exercisable within 60 days of March 15, 2013.</w:t>
      </w:r>
    </w:p>
    <w:p>
      <w:pPr>
        <w:spacing w:after="0" w:line="181"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Mizrahi has agreed to appoint Robert W. D’Loren, our Chairman and Chief Executive Officer as his irrevocable proxy and attorney-in-fact with respect to 1,428,049 shares of the Company’s common stock pursuant to a voting agreement, IM Ready and its principals entered into with the Company.</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87" w:name="page88"/>
    <w:bookmarkEnd w:id="87"/>
    <w:p>
      <w:pPr>
        <w:ind w:left="660" w:right="200" w:hanging="652"/>
        <w:spacing w:after="0" w:line="30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(i) 33,334 shares issuable upon exercise of options that have vested, (ii) 378,563 shares held by Jeffrey Cohen, (iii) 16,868 restricted shares and (iv) 260,000 shares held by Earthbound LLC. Jeffrey Cohen and Jack Dweck have shared voting and dispositive power over the shares held by Earthbound LLC. Jeffrey Cohen has voting and dispositive power over the shares held by 3 Sixty, Inc. Does not include 16,666 shares issuable upon exercise of options the Company agreed to grant to Mr. Cohen but will not become exercisable within 60 days of March 15, 2013.</w:t>
      </w:r>
    </w:p>
    <w:p>
      <w:pPr>
        <w:spacing w:after="0" w:line="154" w:lineRule="exact"/>
        <w:rPr>
          <w:rFonts w:ascii="Arial" w:cs="Arial" w:eastAsia="Arial" w:hAnsi="Arial"/>
          <w:sz w:val="16"/>
          <w:szCs w:val="16"/>
          <w:color w:val="auto"/>
        </w:rPr>
      </w:pPr>
    </w:p>
    <w:p>
      <w:pPr>
        <w:ind w:left="660" w:right="12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Trafelet Capital has voting and dispositive power over the 457,867 shares held by Delta Institutional, LP, 167,100 shares held by Delta Pleiades, LP and 41,700 shares held by Delta Onshore, LP.</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12, 2011, Old XCel entered into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will receive a commission equal to fifteen percent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Mr. Slater earned $31,000 and $53,000 in fees for procuring licenses, separate from the payment under the Amendment, during the year ended December 31, 2012 and period September 29, 2011 to December 3,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LLC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Jones Texas Inc. (“JT”) entered into a consulting agreement on March 28, 2012 whereby JT shall pursue and introduce licensing opportunities for the Company. Ed Jones, is a principal shareholder and chief executive officer of Jones Texas, Inc. JT procured a license for the Company during 2012 which the Company agreed to remit 15% of the license revenues for the initial term of the license. JT earned $3,000 in fees for the year ended December 31,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Earthbound, LLC</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Effective as of September 29, 2011 Date, IM Ready and Earthbound entered into the Services Agreement pursuant to which Earthbound provided transitional services to IM Ready prior to the closing of the transactions pursuant to the Purchase Agreement and Contribution Agreement, for which Earthbound received from IM Ready $600,000 in cash on the Closing Date and IM Ready agreed to pay Earthbound a total of $1,500,000 in additional consideration over the next five years (See Note 4, Debt for details). The Company assumed such payment obligation from IM Ready pursuant to the Purchase Agreement. Jeff Cohen is a principal owner of Earthbound and was a director of the Company through December 2012. Jack Dweck, a principal owner of Earthbound, was elected to serve as a director of the Company in December 2012.</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21, 2012 the Company entered into settlement agreement with Earthbound to satisfy the remaining obligation for $537,500 in cash and 60,000 shares of Common stock, valued at the time at $180,000.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August 2, 2011, Old XCel entered into a licensing agent agreement with Adam Dweck (“AD”) who is an Executive Vice President of Earthbound pursuant to which AD is entitled to a five percent (5%); commission on any royalties we receive under any new license agreements that he procures for us during the initial term of such license agreements. We are obligated to grant to AD 5-year warrants to purchase 12,500 shares of common stock at an exercise price of $5.00 per share, subject to the AD generating $0.5 million of accumulated royalties and an additional 5-year warrants to purchase 12,500 shares of common stock at an exercise price of $5.00 per share, subject to the AD generating $1.0 million of accumulated royalties. Additionally, the AD shall be entitled to receive 5-year warrants to purchase 25,000 shares of common stock priced at the fair market value at the time of issuance, subject to the AD generating $2.0 million of accumulated royalties. AD is the son of Jack Dweck, who is a principal of Earthbound and is on the Company’s board of directors. As of December 31, 2012, the AD has not met any of the above royalty targets, therefore no warrants have been issued.</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 procured several licenses for the Company earning the AD $13,000 and $2,000 in fees for the year ended December 31, 2012 and the period September 29, 2011 to December 31, 2011, respectively. There were no fees earned by AD in the Predecessor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and IM Ready had balances between the Companies relating to the transition of the Isaac Mizrahi Business and certain payments assigned to IM Ready by QVC under the QVC Agreement. As of December 31, 2012 the Company owed IM Ready $217,000 and as of December 31, 2011 IM Ready owed the Company $85,000. The Company did not earn any revenue or incurred any expenses with IM Ready.</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September 29, 2011 our board of directors recommended and approved the appointment of Rothstein Kass (“Rothstein Kass”) as the independent auditor for the Company for the year ending December 31, 2011.</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Rothstein Kass audited IM Ready’s financial statements for the period January 1, 2011 through September 28, 2011 and fiscal years ended December 31, 2010.</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September 6, 2012 the Company dismissed Rothstein Kass its independent registered public accounting firm. The Audit Committee of the Board of Directors of the Company approved such dismissal on September 6, 2012.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ind w:right="60" w:firstLine="648"/>
        <w:spacing w:after="0" w:line="264" w:lineRule="auto"/>
        <w:rPr>
          <w:sz w:val="20"/>
          <w:szCs w:val="20"/>
          <w:color w:val="auto"/>
        </w:rPr>
      </w:pPr>
      <w:r>
        <w:rPr>
          <w:rFonts w:ascii="Arial" w:cs="Arial" w:eastAsia="Arial" w:hAnsi="Arial"/>
          <w:sz w:val="18"/>
          <w:szCs w:val="18"/>
          <w:color w:val="auto"/>
        </w:rPr>
        <w:t>On September 6, 2012, the Audit Committee of the Board of Directors appointed CohnReznick LLP (“Cohn”) as the Company’s new independent registered public accounting firm. The decision to engage Cohn was approved by the Company’s Audit Committee of the Board of Directors on September 6,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for the audit of our annual financial statements, review of financial statements included in our quarterly reports and other fees that are normally provided by the accounting firm in connection with statutory and regulatory filings or engagements for the year ended December 31, 2012 and the period from September 29, 2011 to ended December 31, 2011 were $250,000 and $68,000, respectively.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aggregate fees billed or to be billed for professional services rendered by our independent registered public accounting firm for the audit of the Predecessor annual financial statements, review of financial statements included in our quarterly reports and other fees that are normally provided by the accounting firm in connection with statutory and regulatory filings or engagements for the period from January 1, 2011 to September 28, 2011 were $95,500.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fees billed or to be billed for audit related services by our independent registered public accounting firm or prior independent registered public accounting firm that are reasonably related to the performance of the audit or review of our financial statements, other than those previously reported in this Item 14, for the fiscal years ended December 31, 2012 and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$22,500 and $8,750 fees billed for professional services rendered by our independent registered public accounting firm for tax compliance, tax advice and tax planning for the fiscal years ended December 31, 2012 and December 31, 2011, respectively. There were no fees related to tax compliance, tax advice and tax planning for the Predecessor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$8,000 fees billed for services by our independent registered public accounting firm for non-audit services for the year ended December 31, 2012 and none for the period September 29, 2011 to December 31, 2011 and the Predecessor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 and the engagement of our prior Independent Registered Public Accounting Firm, Rothstein Kass, was approved by the Company’s Audit Committee.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15.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8"/>
                <w:szCs w:val="18"/>
                <w:color w:val="auto"/>
              </w:rPr>
            </w:pPr>
          </w:p>
        </w:tc>
        <w:tc>
          <w:tcPr>
            <w:tcW w:w="9860" w:type="dxa"/>
            <w:vAlign w:val="bottom"/>
          </w:tcPr>
          <w:p>
            <w:pPr>
              <w:spacing w:after="0"/>
              <w:rPr>
                <w:sz w:val="18"/>
                <w:szCs w:val="18"/>
                <w:color w:val="auto"/>
              </w:rPr>
            </w:pPr>
          </w:p>
        </w:tc>
      </w:t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3(i)</w:t>
            </w:r>
          </w:p>
        </w:tc>
        <w:tc>
          <w:tcPr>
            <w:tcW w:w="240" w:type="dxa"/>
            <w:vAlign w:val="bottom"/>
          </w:tcPr>
          <w:p>
            <w:pPr>
              <w:spacing w:after="0"/>
              <w:rPr>
                <w:sz w:val="16"/>
                <w:szCs w:val="16"/>
                <w:color w:val="auto"/>
              </w:rPr>
            </w:pPr>
          </w:p>
        </w:tc>
        <w:tc>
          <w:tcPr>
            <w:tcW w:w="102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Amended and Restated Certificate of Incorporation of Xcel Brands, Inc. (1)</w:t>
            </w: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rPr>
              <w:t>3(ii)</w:t>
            </w:r>
          </w:p>
        </w:tc>
        <w:tc>
          <w:tcPr>
            <w:tcW w:w="10260" w:type="dxa"/>
            <w:vAlign w:val="bottom"/>
            <w:gridSpan w:val="2"/>
          </w:tcPr>
          <w:p>
            <w:pPr>
              <w:spacing w:after="0"/>
              <w:rPr>
                <w:sz w:val="20"/>
                <w:szCs w:val="20"/>
                <w:color w:val="auto"/>
              </w:rPr>
            </w:pPr>
            <w:r>
              <w:rPr>
                <w:rFonts w:ascii="Arial" w:cs="Arial" w:eastAsia="Arial" w:hAnsi="Arial"/>
                <w:sz w:val="18"/>
                <w:szCs w:val="18"/>
                <w:color w:val="auto"/>
              </w:rPr>
              <w:t>Restated and Amended Bylaws (1)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2011 Equity Incentive Plan and Forms of Award Agreements, Amended and Restated November 26, 2012**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Investor Warrant issued in connection with the private placement consummated on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Registration Rights Agreement between Xcel Brands, Inc. and the several purchasers, entered into as of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Executive Warrant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Director Option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Warrant issued to Giuseppe Falco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Warrant issued to Great American Life Insurance Company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Warrant issued to Great American Insurance Company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Rights Agreement by and among Xcel Brands, Inc., Great American Life Insurance Company and Great American Insurance Company, dated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Voting Agreement between Xcel Brands, Inc. and IM Ready-Made, LLC, dated as of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Asset Purchase Agreement by and among Xcel Brands, Inc., IM Brands, LLC, IM Ready-Made, LLC, Isaac Mizrahi and Marisa Gardini,</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dated as of May 19, 2011, as amended on July 28, 2011, as amended on September 15, 2011, as amended on September 21, 2011, as amended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Promissory Note between Xcel Brands, Inc. and IM Ready-Made, LLC,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Second Amended and Restated Agreement and Consent to Assignment by and among QVC, Inc., IM Brands, LLC, IM Ready Made, LLC,</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Xcel Brands, Inc. and Isaac Mizrahi, dated September 28, 2011 (3)</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Contribution Agreement by and among Earthbound, LLC, IM Ready-Made, LLC and Xcel Brands, Inc. dated August 16,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Amendment to Contribution Agreement by and among Earthbound, LLC, IM Ready-Made, LLC and Xcel Brands, Inc. dated September 20,</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2011</w:t>
            </w:r>
          </w:p>
        </w:tc>
        <w:tc>
          <w:tcPr>
            <w:tcW w:w="9860" w:type="dxa"/>
            <w:vAlign w:val="bottom"/>
          </w:tcPr>
          <w:p>
            <w:pPr>
              <w:jc w:val="right"/>
              <w:ind w:right="9530"/>
              <w:spacing w:after="0"/>
              <w:rPr>
                <w:sz w:val="20"/>
                <w:szCs w:val="20"/>
                <w:color w:val="auto"/>
              </w:rPr>
            </w:pPr>
            <w:r>
              <w:rPr>
                <w:rFonts w:ascii="Arial" w:cs="Arial" w:eastAsia="Arial" w:hAnsi="Arial"/>
                <w:sz w:val="18"/>
                <w:szCs w:val="18"/>
                <w:color w:val="auto"/>
                <w:w w:val="99"/>
              </w:rPr>
              <w:t>(2)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Release and Transition Services Agreement by and among Earthbound, LLC, IM Ready-Made, LLC and Xcel Brands, Inc., dated August 16,</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2011</w:t>
            </w:r>
          </w:p>
        </w:tc>
        <w:tc>
          <w:tcPr>
            <w:tcW w:w="9860" w:type="dxa"/>
            <w:vAlign w:val="bottom"/>
          </w:tcPr>
          <w:p>
            <w:pPr>
              <w:jc w:val="right"/>
              <w:ind w:right="9530"/>
              <w:spacing w:after="0"/>
              <w:rPr>
                <w:sz w:val="20"/>
                <w:szCs w:val="20"/>
                <w:color w:val="auto"/>
              </w:rPr>
            </w:pPr>
            <w:r>
              <w:rPr>
                <w:rFonts w:ascii="Arial" w:cs="Arial" w:eastAsia="Arial" w:hAnsi="Arial"/>
                <w:sz w:val="18"/>
                <w:szCs w:val="18"/>
                <w:color w:val="auto"/>
                <w:w w:val="99"/>
              </w:rPr>
              <w:t>(2)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Assignment and Assumption, New York Landlord Consent by and among Adler Holdings III, LLC, IM Ready-Made, LLC and Xcel Brands,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 dated September 29, 2011, and Guaranty by IM Brands, Inc.,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Agreement of Merger and Plan of Reorganization by and among NetFabric Holdings, Inc., NetFabric Acquisition Corp., and Xcel Brands,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Credit Agreement by and among IM Brands, LLC, the several lenders, and MidMarket Capital Partners, LLC, as administrative agent, dated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Guarantee and Collateral Agreement by and among IM Brands, LLC, Xcel Brands, Inc., and MidMarket Capital Partners, LLC, as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administrative agent,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Subordination Agreement, by and among IM Ready-Made, LLC, IM Brands, LLC, Xcel Brands, Inc., and MidMarket Capital Partners, LLC,</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administrative agent, dated September 29, 2011 (2)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Services Agreement between Xcel Brands, Inc. and Todd Slater, dated August 12, 2011 (2)</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Amendment to the Services Agreement between Xcel Brands, Inc. and Todd Slater, dated October 4, 2011 (2)</w:t>
            </w:r>
          </w:p>
        </w:tc>
      </w:tr>
      <w:tr>
        <w:trPr>
          <w:trHeight w:val="648"/>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420"/>
          </w:cols>
          <w:pgMar w:left="240" w:top="904"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9800" w:type="dxa"/>
            <w:vAlign w:val="bottom"/>
          </w:tcPr>
          <w:p>
            <w:pPr>
              <w:ind w:left="340"/>
              <w:spacing w:after="0"/>
              <w:rPr>
                <w:sz w:val="20"/>
                <w:szCs w:val="20"/>
                <w:color w:val="auto"/>
              </w:rPr>
            </w:pPr>
            <w:r>
              <w:rPr>
                <w:rFonts w:ascii="Arial" w:cs="Arial" w:eastAsia="Arial" w:hAnsi="Arial"/>
                <w:sz w:val="18"/>
                <w:szCs w:val="18"/>
                <w:color w:val="auto"/>
              </w:rPr>
              <w:t>Letter Amendment to the Services Agreement between XCel Brands, Inc. and Todd Slater (4)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9800" w:type="dxa"/>
            <w:vAlign w:val="bottom"/>
          </w:tcPr>
          <w:p>
            <w:pPr>
              <w:ind w:left="340"/>
              <w:spacing w:after="0"/>
              <w:rPr>
                <w:sz w:val="20"/>
                <w:szCs w:val="20"/>
                <w:color w:val="auto"/>
              </w:rPr>
            </w:pPr>
            <w:r>
              <w:rPr>
                <w:rFonts w:ascii="Arial" w:cs="Arial" w:eastAsia="Arial" w:hAnsi="Arial"/>
                <w:sz w:val="18"/>
                <w:szCs w:val="18"/>
                <w:color w:val="auto"/>
              </w:rPr>
              <w:t>Amended and Restated Employment Agreement entered into with Robert D’Loren dated February 21, 2012 (1)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Amendment to the Amended and Restated Employment Agreement entered into with Robert D’Loren, dated January 22, 2013 (4)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9800" w:type="dxa"/>
            <w:vAlign w:val="bottom"/>
          </w:tcPr>
          <w:p>
            <w:pPr>
              <w:ind w:left="340"/>
              <w:spacing w:after="0"/>
              <w:rPr>
                <w:sz w:val="20"/>
                <w:szCs w:val="20"/>
                <w:color w:val="auto"/>
              </w:rPr>
            </w:pPr>
            <w:r>
              <w:rPr>
                <w:rFonts w:ascii="Arial" w:cs="Arial" w:eastAsia="Arial" w:hAnsi="Arial"/>
                <w:sz w:val="18"/>
                <w:szCs w:val="18"/>
                <w:color w:val="auto"/>
              </w:rPr>
              <w:t>Amended and Restated Employment Agreement entered into with Giuseppe Falco, dated February 21, 2012 (1)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9800" w:type="dxa"/>
            <w:vAlign w:val="bottom"/>
          </w:tcPr>
          <w:p>
            <w:pPr>
              <w:ind w:left="340"/>
              <w:spacing w:after="0"/>
              <w:rPr>
                <w:sz w:val="20"/>
                <w:szCs w:val="20"/>
                <w:color w:val="auto"/>
              </w:rPr>
            </w:pPr>
            <w:r>
              <w:rPr>
                <w:rFonts w:ascii="Arial" w:cs="Arial" w:eastAsia="Arial" w:hAnsi="Arial"/>
                <w:sz w:val="18"/>
                <w:szCs w:val="18"/>
                <w:color w:val="auto"/>
              </w:rPr>
              <w:t>Amended and Restated Employment Agreement entered into with James Haran dated February 21, 2012 (1)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Amendment to the Amended and Restated Employment Agreement entered into with James Haran, dated December 16, 2012 **</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9800" w:type="dxa"/>
            <w:vAlign w:val="bottom"/>
          </w:tcPr>
          <w:p>
            <w:pPr>
              <w:ind w:left="340"/>
              <w:spacing w:after="0"/>
              <w:rPr>
                <w:sz w:val="20"/>
                <w:szCs w:val="20"/>
                <w:color w:val="auto"/>
              </w:rPr>
            </w:pPr>
            <w:r>
              <w:rPr>
                <w:rFonts w:ascii="Arial" w:cs="Arial" w:eastAsia="Arial" w:hAnsi="Arial"/>
                <w:sz w:val="18"/>
                <w:szCs w:val="18"/>
                <w:color w:val="auto"/>
              </w:rPr>
              <w:t>Amended and Restated Employment Agreement entered into with Seth Burroughs dated February 21, 2012 (1)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Amendment to the Amended and Restated Employment Agreement entered into with Seth Burroughs, dated December 16, 2012 **</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9800" w:type="dxa"/>
            <w:vAlign w:val="bottom"/>
          </w:tcPr>
          <w:p>
            <w:pPr>
              <w:ind w:left="340"/>
              <w:spacing w:after="0"/>
              <w:rPr>
                <w:sz w:val="20"/>
                <w:szCs w:val="20"/>
                <w:color w:val="auto"/>
              </w:rPr>
            </w:pPr>
            <w:r>
              <w:rPr>
                <w:rFonts w:ascii="Arial" w:cs="Arial" w:eastAsia="Arial" w:hAnsi="Arial"/>
                <w:sz w:val="18"/>
                <w:szCs w:val="18"/>
                <w:color w:val="auto"/>
              </w:rPr>
              <w:t>Amended and Restated Employment Agreement entered into with Marisa Gardini, dated February 21, 2012 (1)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9800" w:type="dxa"/>
            <w:vAlign w:val="bottom"/>
          </w:tcPr>
          <w:p>
            <w:pPr>
              <w:ind w:left="340"/>
              <w:spacing w:after="0"/>
              <w:rPr>
                <w:sz w:val="20"/>
                <w:szCs w:val="20"/>
                <w:color w:val="auto"/>
              </w:rPr>
            </w:pPr>
            <w:r>
              <w:rPr>
                <w:rFonts w:ascii="Arial" w:cs="Arial" w:eastAsia="Arial" w:hAnsi="Arial"/>
                <w:sz w:val="18"/>
                <w:szCs w:val="18"/>
                <w:color w:val="auto"/>
              </w:rPr>
              <w:t>Employment Agreement entered into with Isaac Mizrahi, dated May 19, 2011 (2)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14.1</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Code of Business Conduct and Ethics for Xcel Brands, Inc. (2)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9800" w:type="dxa"/>
            <w:vAlign w:val="bottom"/>
          </w:tcPr>
          <w:p>
            <w:pPr>
              <w:ind w:left="340"/>
              <w:spacing w:after="0"/>
              <w:rPr>
                <w:sz w:val="20"/>
                <w:szCs w:val="20"/>
                <w:color w:val="auto"/>
              </w:rPr>
            </w:pPr>
            <w:r>
              <w:rPr>
                <w:rFonts w:ascii="Arial" w:cs="Arial" w:eastAsia="Arial" w:hAnsi="Arial"/>
                <w:sz w:val="18"/>
                <w:szCs w:val="18"/>
                <w:color w:val="auto"/>
              </w:rPr>
              <w:t>Subsidiaries of the Registrant (1)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31(i).1</w:t>
            </w:r>
          </w:p>
        </w:tc>
        <w:tc>
          <w:tcPr>
            <w:tcW w:w="9800" w:type="dxa"/>
            <w:vAlign w:val="bottom"/>
          </w:tcPr>
          <w:p>
            <w:pPr>
              <w:ind w:left="340"/>
              <w:spacing w:after="0"/>
              <w:rPr>
                <w:sz w:val="20"/>
                <w:szCs w:val="20"/>
                <w:color w:val="auto"/>
              </w:rPr>
            </w:pPr>
            <w:r>
              <w:rPr>
                <w:rFonts w:ascii="Arial" w:cs="Arial" w:eastAsia="Arial" w:hAnsi="Arial"/>
                <w:sz w:val="18"/>
                <w:szCs w:val="18"/>
                <w:color w:val="auto"/>
              </w:rPr>
              <w:t>Rule 13a-14(a)/15d-14(a) Certification (CEO)**</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31(i).2</w:t>
            </w:r>
          </w:p>
        </w:tc>
        <w:tc>
          <w:tcPr>
            <w:tcW w:w="9800" w:type="dxa"/>
            <w:vAlign w:val="bottom"/>
          </w:tcPr>
          <w:p>
            <w:pPr>
              <w:ind w:left="340"/>
              <w:spacing w:after="0"/>
              <w:rPr>
                <w:sz w:val="20"/>
                <w:szCs w:val="20"/>
                <w:color w:val="auto"/>
              </w:rPr>
            </w:pPr>
            <w:r>
              <w:rPr>
                <w:rFonts w:ascii="Arial" w:cs="Arial" w:eastAsia="Arial" w:hAnsi="Arial"/>
                <w:sz w:val="18"/>
                <w:szCs w:val="18"/>
                <w:color w:val="auto"/>
              </w:rPr>
              <w:t>Rule 13a-14(a)/15d-14(a) Certification (CFO)**</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32(i).1</w:t>
            </w:r>
          </w:p>
        </w:tc>
        <w:tc>
          <w:tcPr>
            <w:tcW w:w="9800" w:type="dxa"/>
            <w:vAlign w:val="bottom"/>
          </w:tcPr>
          <w:p>
            <w:pPr>
              <w:ind w:left="340"/>
              <w:spacing w:after="0"/>
              <w:rPr>
                <w:sz w:val="20"/>
                <w:szCs w:val="20"/>
                <w:color w:val="auto"/>
              </w:rPr>
            </w:pPr>
            <w:r>
              <w:rPr>
                <w:rFonts w:ascii="Arial" w:cs="Arial" w:eastAsia="Arial" w:hAnsi="Arial"/>
                <w:sz w:val="18"/>
                <w:szCs w:val="18"/>
                <w:color w:val="auto"/>
              </w:rPr>
              <w:t>Section 1350 Certification (CEO)**</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32(i).2</w:t>
            </w:r>
          </w:p>
        </w:tc>
        <w:tc>
          <w:tcPr>
            <w:tcW w:w="9800" w:type="dxa"/>
            <w:vAlign w:val="bottom"/>
          </w:tcPr>
          <w:p>
            <w:pPr>
              <w:ind w:left="340"/>
              <w:spacing w:after="0"/>
              <w:rPr>
                <w:sz w:val="20"/>
                <w:szCs w:val="20"/>
                <w:color w:val="auto"/>
              </w:rPr>
            </w:pPr>
            <w:r>
              <w:rPr>
                <w:rFonts w:ascii="Arial" w:cs="Arial" w:eastAsia="Arial" w:hAnsi="Arial"/>
                <w:sz w:val="18"/>
                <w:szCs w:val="18"/>
                <w:color w:val="auto"/>
              </w:rPr>
              <w:t>Section 1350 Certification (CFO)**</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99.2</w:t>
            </w:r>
          </w:p>
        </w:tc>
        <w:tc>
          <w:tcPr>
            <w:tcW w:w="9800" w:type="dxa"/>
            <w:vAlign w:val="bottom"/>
          </w:tcPr>
          <w:p>
            <w:pPr>
              <w:ind w:left="340"/>
              <w:spacing w:after="0"/>
              <w:rPr>
                <w:sz w:val="20"/>
                <w:szCs w:val="20"/>
                <w:color w:val="auto"/>
              </w:rPr>
            </w:pPr>
            <w:r>
              <w:rPr>
                <w:rFonts w:ascii="Arial" w:cs="Arial" w:eastAsia="Arial" w:hAnsi="Arial"/>
                <w:sz w:val="18"/>
                <w:szCs w:val="18"/>
                <w:color w:val="auto"/>
              </w:rPr>
              <w:t>Audit Committee Charter (2)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99.3</w:t>
            </w:r>
          </w:p>
        </w:tc>
        <w:tc>
          <w:tcPr>
            <w:tcW w:w="9800" w:type="dxa"/>
            <w:vAlign w:val="bottom"/>
          </w:tcPr>
          <w:p>
            <w:pPr>
              <w:ind w:left="340"/>
              <w:spacing w:after="0"/>
              <w:rPr>
                <w:sz w:val="20"/>
                <w:szCs w:val="20"/>
                <w:color w:val="auto"/>
              </w:rPr>
            </w:pPr>
            <w:r>
              <w:rPr>
                <w:rFonts w:ascii="Arial" w:cs="Arial" w:eastAsia="Arial" w:hAnsi="Arial"/>
                <w:sz w:val="18"/>
                <w:szCs w:val="18"/>
                <w:color w:val="auto"/>
              </w:rPr>
              <w:t>Compensation Committee Charter (2)</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99.4</w:t>
            </w:r>
          </w:p>
        </w:tc>
        <w:tc>
          <w:tcPr>
            <w:tcW w:w="9800" w:type="dxa"/>
            <w:vAlign w:val="bottom"/>
          </w:tcPr>
          <w:p>
            <w:pPr>
              <w:ind w:left="340"/>
              <w:spacing w:after="0"/>
              <w:rPr>
                <w:sz w:val="20"/>
                <w:szCs w:val="20"/>
                <w:color w:val="auto"/>
              </w:rPr>
            </w:pPr>
            <w:r>
              <w:rPr>
                <w:rFonts w:ascii="Arial" w:cs="Arial" w:eastAsia="Arial" w:hAnsi="Arial"/>
                <w:sz w:val="18"/>
                <w:szCs w:val="18"/>
                <w:color w:val="auto"/>
              </w:rPr>
              <w:t>Nominating and Corporate Governance Committee Charter (2)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101.INS XBRL Instance Document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Schema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Calculation Linkbase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Definition Linkbase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Label Linkbase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Presentation Linkbase **</w:t>
      </w:r>
    </w:p>
    <w:p>
      <w:pPr>
        <w:spacing w:after="0" w:line="200" w:lineRule="exact"/>
        <w:rPr>
          <w:sz w:val="20"/>
          <w:szCs w:val="20"/>
          <w:color w:val="auto"/>
        </w:rPr>
      </w:pPr>
    </w:p>
    <w:p>
      <w:pPr>
        <w:spacing w:after="0" w:line="227" w:lineRule="exact"/>
        <w:rPr>
          <w:sz w:val="20"/>
          <w:szCs w:val="20"/>
          <w:color w:val="auto"/>
        </w:rPr>
      </w:pPr>
    </w:p>
    <w:p>
      <w:pPr>
        <w:ind w:left="980" w:right="100" w:hanging="648"/>
        <w:spacing w:after="0" w:line="25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herein by reference to the appropriate exhibit to the Annual Report filed on Form 10-K, which was filed with the SEC on March 30, 2012.</w:t>
      </w:r>
    </w:p>
    <w:p>
      <w:pPr>
        <w:spacing w:after="0" w:line="1" w:lineRule="exact"/>
        <w:rPr>
          <w:rFonts w:ascii="Arial" w:cs="Arial" w:eastAsia="Arial" w:hAnsi="Arial"/>
          <w:sz w:val="18"/>
          <w:szCs w:val="18"/>
          <w:color w:val="auto"/>
        </w:rPr>
      </w:pPr>
    </w:p>
    <w:p>
      <w:pPr>
        <w:ind w:left="980" w:right="440" w:hanging="648"/>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5, 2011</w:t>
      </w:r>
    </w:p>
    <w:p>
      <w:pPr>
        <w:ind w:left="980" w:hanging="648"/>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herein by reference to the appropriate exhibit to the Current Report filed on Form 8-K/A, which was filed with the SEC on February, 7, 2012.</w:t>
      </w:r>
    </w:p>
    <w:p>
      <w:pPr>
        <w:ind w:left="980" w:right="440" w:hanging="648"/>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19, 2012</w:t>
      </w:r>
    </w:p>
    <w:p>
      <w:pPr>
        <w:spacing w:after="0" w:line="1" w:lineRule="exact"/>
        <w:rPr>
          <w:sz w:val="20"/>
          <w:szCs w:val="20"/>
          <w:color w:val="auto"/>
        </w:rPr>
      </w:pPr>
    </w:p>
    <w:p>
      <w:pPr>
        <w:ind w:left="980" w:hanging="648"/>
        <w:spacing w:after="0" w:line="261"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 Form 8-K, which was filed with the SEC on July 7, 2012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Date: March 15, 2013</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202"/>
        </w:trPr>
        <w:tc>
          <w:tcPr>
            <w:tcW w:w="686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Robert W. D’Loren, Chairman, President,</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15, 2013</w:t>
            </w:r>
          </w:p>
        </w:tc>
        <w:tc>
          <w:tcPr>
            <w:tcW w:w="326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W. D’Loren , Chairman,</w:t>
            </w:r>
          </w:p>
        </w:tc>
      </w:tr>
      <w:tr>
        <w:trPr>
          <w:trHeight w:val="216"/>
        </w:trPr>
        <w:tc>
          <w:tcPr>
            <w:tcW w:w="3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Director</w:t>
            </w:r>
          </w:p>
        </w:tc>
      </w:tr>
      <w:tr>
        <w:trPr>
          <w:trHeight w:val="230"/>
        </w:trPr>
        <w:tc>
          <w:tcPr>
            <w:tcW w:w="3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15, 2013</w:t>
            </w:r>
          </w:p>
        </w:tc>
        <w:tc>
          <w:tcPr>
            <w:tcW w:w="326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Haran</w:t>
            </w:r>
          </w:p>
        </w:tc>
      </w:tr>
      <w:tr>
        <w:trPr>
          <w:trHeight w:val="195"/>
        </w:trPr>
        <w:tc>
          <w:tcPr>
            <w:tcW w:w="3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James F. Haran, Chief Financial</w:t>
            </w:r>
          </w:p>
        </w:tc>
      </w:tr>
      <w:tr>
        <w:trPr>
          <w:trHeight w:val="230"/>
        </w:trPr>
        <w:tc>
          <w:tcPr>
            <w:tcW w:w="3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 (Principal Financial and Accounting Officer)</w:t>
            </w:r>
          </w:p>
        </w:tc>
      </w:tr>
      <w:tr>
        <w:trPr>
          <w:trHeight w:val="648"/>
        </w:trPr>
        <w:tc>
          <w:tcPr>
            <w:tcW w:w="3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90</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fiscal year ended December 31, 2012.</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225" w:lineRule="exact"/>
        <w:rPr>
          <w:sz w:val="20"/>
          <w:szCs w:val="20"/>
          <w:color w:val="auto"/>
        </w:rPr>
      </w:pPr>
    </w:p>
    <w:p>
      <w:pPr>
        <w:ind w:left="660" w:hanging="611"/>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fiscal year ended December 31, 2012.</w:t>
      </w:r>
    </w:p>
    <w:p>
      <w:pPr>
        <w:spacing w:after="0" w:line="225" w:lineRule="exact"/>
        <w:rPr>
          <w:rFonts w:ascii="Arial" w:cs="Arial" w:eastAsia="Arial" w:hAnsi="Arial"/>
          <w:sz w:val="18"/>
          <w:szCs w:val="18"/>
          <w:color w:val="auto"/>
        </w:rPr>
      </w:pPr>
    </w:p>
    <w:p>
      <w:pPr>
        <w:jc w:val="both"/>
        <w:ind w:left="660" w:hanging="611"/>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11"/>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11"/>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20" w:hanging="323"/>
        <w:spacing w:after="0" w:line="264"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20" w:hanging="323"/>
        <w:spacing w:after="0" w:line="264"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hanging="323"/>
        <w:spacing w:after="0" w:line="308" w:lineRule="auto"/>
        <w:tabs>
          <w:tab w:leader="none" w:pos="10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20" w:hanging="323"/>
        <w:spacing w:after="0" w:line="264"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11"/>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hanging="323"/>
        <w:spacing w:after="0" w:line="277"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hanging="323"/>
        <w:spacing w:after="0" w:line="277"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2012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W. D’Loren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2012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upperLetter"/>
      <w:start w:val="11"/>
    </w:lvl>
  </w:abstractNum>
  <w:abstractNum w:abstractNumId="3">
    <w:nsid w:val="628C895D"/>
    <w:multiLevelType w:val="hybridMultilevel"/>
    <w:lvl w:ilvl="0">
      <w:lvlJc w:val="left"/>
      <w:lvlText w:val="(%1)"/>
      <w:numFmt w:val="lowerRoman"/>
      <w:start w:val="2"/>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2"/>
    </w:lvl>
  </w:abstractNum>
  <w:abstractNum w:abstractNumId="17">
    <w:nsid w:val="2CA88611"/>
    <w:multiLevelType w:val="hybridMultilevel"/>
    <w:lvl w:ilvl="0">
      <w:lvlJc w:val="left"/>
      <w:lvlText w:val="%1."/>
      <w:numFmt w:val="decimal"/>
      <w:start w:val="4"/>
    </w:lvl>
  </w:abstractNum>
  <w:abstractNum w:abstractNumId="18">
    <w:nsid w:val="836C40E"/>
    <w:multiLevelType w:val="hybridMultilevel"/>
    <w:lvl w:ilvl="0">
      <w:lvlJc w:val="left"/>
      <w:lvlText w:val="%1."/>
      <w:numFmt w:val="decimal"/>
      <w:start w:val="5"/>
    </w:lvl>
  </w:abstractNum>
  <w:abstractNum w:abstractNumId="19">
    <w:nsid w:val="2901D82"/>
    <w:multiLevelType w:val="hybridMultilevel"/>
    <w:lvl w:ilvl="0">
      <w:lvlJc w:val="left"/>
      <w:lvlText w:val="%1."/>
      <w:numFmt w:val="decimal"/>
      <w:start w:val="6"/>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0"/>
    </w:lvl>
  </w:abstractNum>
  <w:abstractNum w:abstractNumId="25">
    <w:nsid w:val="6CEAF087"/>
    <w:multiLevelType w:val="hybridMultilevel"/>
    <w:lvl w:ilvl="0">
      <w:lvlJc w:val="left"/>
      <w:lvlText w:val="(%1)"/>
      <w:numFmt w:val="lowerRoman"/>
      <w:start w:val="3"/>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2"/>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3"/>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4"/>
    </w:lvl>
  </w:abstractNum>
  <w:abstractNum w:abstractNumId="36">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2019-12-06T21:24:13Z</dcterms:created>
  <dcterms:modified xsi:type="dcterms:W3CDTF">2019-12-06T21:24:13Z</dcterms:modified>
</cp:coreProperties>
</file>